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889F" w14:textId="19BD424E" w:rsidR="000F26BC" w:rsidRDefault="000F26BC" w:rsidP="000F26BC">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9571B9">
        <w:rPr>
          <w:rFonts w:ascii="Arial" w:hAnsi="Arial" w:cs="Arial"/>
          <w:b/>
          <w:bCs/>
        </w:rPr>
        <w:t>R1-211</w:t>
      </w:r>
      <w:r w:rsidR="009571B9">
        <w:rPr>
          <w:rFonts w:ascii="Arial" w:hAnsi="Arial" w:cs="Arial"/>
          <w:b/>
          <w:bCs/>
        </w:rPr>
        <w:t>1870</w:t>
      </w:r>
    </w:p>
    <w:p w14:paraId="4D091527" w14:textId="77777777" w:rsidR="000F26BC" w:rsidRPr="00210D4C" w:rsidRDefault="000F26BC" w:rsidP="000F26B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25F1677" w:rsidR="00531215" w:rsidRPr="00764EBC" w:rsidRDefault="003D3C45" w:rsidP="00311702">
      <w:pPr>
        <w:pStyle w:val="3GPPHeader"/>
      </w:pPr>
      <w:r w:rsidRPr="00764EBC">
        <w:t>Title:</w:t>
      </w:r>
      <w:r w:rsidR="00E90E49" w:rsidRPr="00764EBC">
        <w:tab/>
      </w:r>
      <w:r w:rsidR="00495F3B">
        <w:t xml:space="preserve">Timing </w:t>
      </w:r>
      <w:r w:rsidR="00227C83">
        <w:t>Relationship</w:t>
      </w:r>
      <w:r w:rsidR="000F21AD">
        <w:t xml:space="preserve"> Enhancements </w:t>
      </w:r>
      <w:r w:rsidR="00117D7B">
        <w:t>for NR</w:t>
      </w:r>
      <w:r w:rsidR="00227C83">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76AC9EE5"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627E67">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627E67">
        <w:t>[2]</w:t>
      </w:r>
      <w:r w:rsidR="00BF2C61">
        <w:fldChar w:fldCharType="end"/>
      </w:r>
      <w:r w:rsidR="00BF2C61">
        <w:t>. The following agreements have been made in RAN1 #10</w:t>
      </w:r>
      <w:r w:rsidR="00C66C34">
        <w:t>6</w:t>
      </w:r>
      <w:r w:rsidR="00505F29">
        <w:t>b</w:t>
      </w:r>
      <w:r w:rsidR="00BF2C61">
        <w:t>-e</w:t>
      </w:r>
      <w:r w:rsidR="00AA332E">
        <w:t xml:space="preserve"> meeting</w:t>
      </w:r>
      <w:r w:rsidR="00117D7B">
        <w:t xml:space="preserve"> </w:t>
      </w:r>
      <w:r w:rsidR="00117D7B">
        <w:fldChar w:fldCharType="begin"/>
      </w:r>
      <w:r w:rsidR="00117D7B">
        <w:instrText xml:space="preserve"> REF _Ref70062107 \r \h </w:instrText>
      </w:r>
      <w:r w:rsidR="00117D7B">
        <w:fldChar w:fldCharType="separate"/>
      </w:r>
      <w:r w:rsidR="00627E67">
        <w:t>[3]</w:t>
      </w:r>
      <w:r w:rsidR="00117D7B">
        <w:fldChar w:fldCharType="end"/>
      </w:r>
      <w:r w:rsidR="00BF2C61">
        <w:t>.</w:t>
      </w:r>
    </w:p>
    <w:p w14:paraId="119766B2" w14:textId="77777777" w:rsidR="00505F29" w:rsidRDefault="00505F29" w:rsidP="00BF2C61">
      <w:pPr>
        <w:jc w:val="both"/>
      </w:pPr>
    </w:p>
    <w:p w14:paraId="703EBC41" w14:textId="77777777" w:rsidR="00505F29" w:rsidRDefault="00505F29" w:rsidP="00505F29">
      <w:pPr>
        <w:rPr>
          <w:lang w:eastAsia="x-none"/>
        </w:rPr>
      </w:pPr>
      <w:r w:rsidRPr="00551453">
        <w:rPr>
          <w:highlight w:val="green"/>
          <w:lang w:eastAsia="x-none"/>
        </w:rPr>
        <w:t>Agreement:</w:t>
      </w:r>
    </w:p>
    <w:p w14:paraId="31C90E16" w14:textId="77777777" w:rsidR="00505F29" w:rsidRDefault="00505F29" w:rsidP="00505F29">
      <w:pPr>
        <w:rPr>
          <w:lang w:eastAsia="x-none"/>
        </w:rPr>
      </w:pPr>
      <w:r>
        <w:rPr>
          <w:lang w:eastAsia="x-none"/>
        </w:rPr>
        <w:t>Signalling one value for cell-specific K_offset is supported.</w:t>
      </w:r>
    </w:p>
    <w:p w14:paraId="092E413B" w14:textId="77777777" w:rsidR="00505F29" w:rsidRDefault="00505F29" w:rsidP="00505F29">
      <w:pPr>
        <w:rPr>
          <w:lang w:eastAsia="x-none"/>
        </w:rPr>
      </w:pPr>
    </w:p>
    <w:p w14:paraId="4E8922BD" w14:textId="77777777" w:rsidR="00505F29" w:rsidRDefault="00505F29" w:rsidP="00505F29">
      <w:pPr>
        <w:rPr>
          <w:lang w:eastAsia="x-none"/>
        </w:rPr>
      </w:pPr>
      <w:r w:rsidRPr="00D85F81">
        <w:rPr>
          <w:highlight w:val="green"/>
          <w:lang w:eastAsia="x-none"/>
        </w:rPr>
        <w:t>Agreement:</w:t>
      </w:r>
    </w:p>
    <w:p w14:paraId="7E06903D" w14:textId="77777777" w:rsidR="00505F29" w:rsidRPr="00E30699" w:rsidRDefault="00505F29" w:rsidP="00505F29">
      <w:pPr>
        <w:numPr>
          <w:ilvl w:val="0"/>
          <w:numId w:val="48"/>
        </w:numPr>
        <w:rPr>
          <w:lang w:eastAsia="x-none"/>
        </w:rPr>
      </w:pPr>
      <w:r>
        <w:rPr>
          <w:lang w:eastAsia="x-none"/>
        </w:rPr>
        <w:t>For the reference subcarrier spacing value for the unit of K_offset in FR1, a value of 15 kHz is used.</w:t>
      </w:r>
    </w:p>
    <w:p w14:paraId="5CD85D5C" w14:textId="77777777" w:rsidR="00505F29" w:rsidRDefault="00505F29" w:rsidP="00505F29">
      <w:pPr>
        <w:numPr>
          <w:ilvl w:val="0"/>
          <w:numId w:val="48"/>
        </w:numPr>
        <w:rPr>
          <w:lang w:eastAsia="x-none"/>
        </w:rPr>
      </w:pPr>
      <w:r>
        <w:rPr>
          <w:lang w:eastAsia="x-none"/>
        </w:rPr>
        <w:t>FFS: FR2</w:t>
      </w:r>
    </w:p>
    <w:p w14:paraId="73826D28" w14:textId="77777777" w:rsidR="00505F29" w:rsidRDefault="00505F29" w:rsidP="00505F29">
      <w:pPr>
        <w:rPr>
          <w:lang w:eastAsia="x-none"/>
        </w:rPr>
      </w:pPr>
    </w:p>
    <w:p w14:paraId="6DA29675" w14:textId="77777777" w:rsidR="00505F29" w:rsidRDefault="00505F29" w:rsidP="00505F29">
      <w:pPr>
        <w:rPr>
          <w:lang w:eastAsia="x-none"/>
        </w:rPr>
      </w:pPr>
      <w:r w:rsidRPr="007E684D">
        <w:rPr>
          <w:highlight w:val="green"/>
          <w:lang w:eastAsia="x-none"/>
        </w:rPr>
        <w:t>Agreement:</w:t>
      </w:r>
    </w:p>
    <w:p w14:paraId="1172FB52" w14:textId="77777777" w:rsidR="00505F29" w:rsidRDefault="00505F29" w:rsidP="00505F29">
      <w:pPr>
        <w:rPr>
          <w:lang w:eastAsia="x-none"/>
        </w:rPr>
      </w:pPr>
      <w:r>
        <w:rPr>
          <w:lang w:eastAsia="x-none"/>
        </w:rPr>
        <w:t>The granularity of the reported TA is slot.</w:t>
      </w:r>
    </w:p>
    <w:p w14:paraId="0320332A" w14:textId="77777777" w:rsidR="00505F29" w:rsidRDefault="00505F29" w:rsidP="00505F29">
      <w:pPr>
        <w:numPr>
          <w:ilvl w:val="0"/>
          <w:numId w:val="49"/>
        </w:numPr>
        <w:rPr>
          <w:lang w:eastAsia="x-none"/>
        </w:rPr>
      </w:pPr>
      <w:r>
        <w:rPr>
          <w:lang w:eastAsia="x-none"/>
        </w:rPr>
        <w:t>FFS how to round TA value to slot level granularity</w:t>
      </w:r>
    </w:p>
    <w:p w14:paraId="0557727B" w14:textId="77777777" w:rsidR="00505F29" w:rsidRDefault="00505F29" w:rsidP="00505F29">
      <w:pPr>
        <w:rPr>
          <w:lang w:eastAsia="x-none"/>
        </w:rPr>
      </w:pPr>
    </w:p>
    <w:p w14:paraId="06CF9036" w14:textId="77777777" w:rsidR="00505F29" w:rsidRDefault="00505F29" w:rsidP="00505F29">
      <w:pPr>
        <w:rPr>
          <w:lang w:eastAsia="x-none"/>
        </w:rPr>
      </w:pPr>
      <w:r w:rsidRPr="00AC3B11">
        <w:rPr>
          <w:highlight w:val="green"/>
          <w:lang w:eastAsia="x-none"/>
        </w:rPr>
        <w:t>Agreement:</w:t>
      </w:r>
    </w:p>
    <w:p w14:paraId="63DC2293" w14:textId="77777777" w:rsidR="00505F29" w:rsidRDefault="00505F29" w:rsidP="00505F29">
      <w:pPr>
        <w:rPr>
          <w:lang w:eastAsia="x-none"/>
        </w:rPr>
      </w:pPr>
      <w:r>
        <w:rPr>
          <w:lang w:eastAsia="x-none"/>
        </w:rPr>
        <w:t>For the reference subcarrier spacing value for the unit of K_mac in FR1, a value of 15 kHz is used.</w:t>
      </w:r>
    </w:p>
    <w:p w14:paraId="0F27507A" w14:textId="77777777" w:rsidR="00505F29" w:rsidRDefault="00505F29" w:rsidP="00505F29">
      <w:pPr>
        <w:numPr>
          <w:ilvl w:val="0"/>
          <w:numId w:val="49"/>
        </w:numPr>
        <w:rPr>
          <w:lang w:eastAsia="x-none"/>
        </w:rPr>
      </w:pPr>
      <w:r>
        <w:rPr>
          <w:lang w:eastAsia="x-none"/>
        </w:rPr>
        <w:t>FFS: FR2</w:t>
      </w:r>
    </w:p>
    <w:p w14:paraId="72471A8E" w14:textId="77777777" w:rsidR="00505F29" w:rsidRDefault="00505F29" w:rsidP="00505F29">
      <w:pPr>
        <w:rPr>
          <w:lang w:eastAsia="x-none"/>
        </w:rPr>
      </w:pPr>
    </w:p>
    <w:p w14:paraId="2CD2A94E" w14:textId="77777777" w:rsidR="00505F29" w:rsidRDefault="00505F29" w:rsidP="00505F29">
      <w:pPr>
        <w:rPr>
          <w:lang w:eastAsia="x-none"/>
        </w:rPr>
      </w:pPr>
      <w:r w:rsidRPr="00AC3B11">
        <w:rPr>
          <w:highlight w:val="green"/>
          <w:lang w:eastAsia="x-none"/>
        </w:rPr>
        <w:t>Agreement:</w:t>
      </w:r>
    </w:p>
    <w:p w14:paraId="28B5E895" w14:textId="77777777" w:rsidR="00505F29" w:rsidRPr="00AC3B11" w:rsidRDefault="00505F29" w:rsidP="00505F29">
      <w:pPr>
        <w:rPr>
          <w:rFonts w:cs="Times"/>
        </w:rPr>
      </w:pPr>
      <w:r w:rsidRPr="00AC3B11">
        <w:rPr>
          <w:rFonts w:cs="Times"/>
        </w:rPr>
        <w:t>For defining value range(s) of K_offset, down-select one option from below:</w:t>
      </w:r>
    </w:p>
    <w:tbl>
      <w:tblPr>
        <w:tblW w:w="0" w:type="auto"/>
        <w:tblCellMar>
          <w:left w:w="0" w:type="dxa"/>
          <w:right w:w="0" w:type="dxa"/>
        </w:tblCellMar>
        <w:tblLook w:val="04A0" w:firstRow="1" w:lastRow="0" w:firstColumn="1" w:lastColumn="0" w:noHBand="0" w:noVBand="1"/>
      </w:tblPr>
      <w:tblGrid>
        <w:gridCol w:w="3165"/>
        <w:gridCol w:w="3167"/>
        <w:gridCol w:w="3165"/>
      </w:tblGrid>
      <w:tr w:rsidR="00505F29" w:rsidRPr="00AC3B11" w14:paraId="7CEDA4F6" w14:textId="77777777" w:rsidTr="00336EF5">
        <w:tc>
          <w:tcPr>
            <w:tcW w:w="316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5A86E66" w14:textId="77777777" w:rsidR="00505F29" w:rsidRPr="00AC3B11" w:rsidRDefault="00505F29" w:rsidP="00336EF5">
            <w:pPr>
              <w:rPr>
                <w:rFonts w:cs="Times"/>
              </w:rPr>
            </w:pPr>
            <w:r w:rsidRPr="00AC3B11">
              <w:rPr>
                <w:rFonts w:cs="Times"/>
              </w:rPr>
              <w:t>Option</w:t>
            </w:r>
          </w:p>
        </w:tc>
        <w:tc>
          <w:tcPr>
            <w:tcW w:w="316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9A029D5" w14:textId="77777777" w:rsidR="00505F29" w:rsidRPr="00AC3B11" w:rsidRDefault="00505F29" w:rsidP="00336EF5">
            <w:pPr>
              <w:rPr>
                <w:rFonts w:cs="Times"/>
              </w:rPr>
            </w:pPr>
            <w:r w:rsidRPr="00AC3B11">
              <w:rPr>
                <w:rFonts w:cs="Times"/>
              </w:rPr>
              <w:t>Value range</w:t>
            </w:r>
          </w:p>
        </w:tc>
        <w:tc>
          <w:tcPr>
            <w:tcW w:w="316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0717DA2" w14:textId="77777777" w:rsidR="00505F29" w:rsidRPr="00AC3B11" w:rsidRDefault="00505F29" w:rsidP="00336EF5">
            <w:pPr>
              <w:rPr>
                <w:rFonts w:cs="Times"/>
              </w:rPr>
            </w:pPr>
            <w:r w:rsidRPr="00AC3B11">
              <w:rPr>
                <w:rFonts w:cs="Times"/>
              </w:rPr>
              <w:t>Step size</w:t>
            </w:r>
          </w:p>
        </w:tc>
      </w:tr>
      <w:tr w:rsidR="00505F29" w:rsidRPr="00AC3B11" w14:paraId="2086FD4D" w14:textId="77777777" w:rsidTr="00336EF5">
        <w:tc>
          <w:tcPr>
            <w:tcW w:w="3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E6DE6" w14:textId="77777777" w:rsidR="00505F29" w:rsidRPr="00AC3B11" w:rsidRDefault="00505F29" w:rsidP="00336EF5">
            <w:pPr>
              <w:rPr>
                <w:rFonts w:cs="Times"/>
              </w:rPr>
            </w:pPr>
            <w:r w:rsidRPr="00AC3B11">
              <w:rPr>
                <w:rFonts w:cs="Times"/>
              </w:rPr>
              <w:t>Option 1: One value range of K_offset covering all scenarios.</w:t>
            </w:r>
          </w:p>
        </w:tc>
        <w:tc>
          <w:tcPr>
            <w:tcW w:w="3167" w:type="dxa"/>
            <w:tcBorders>
              <w:top w:val="nil"/>
              <w:left w:val="nil"/>
              <w:bottom w:val="single" w:sz="8" w:space="0" w:color="auto"/>
              <w:right w:val="single" w:sz="8" w:space="0" w:color="auto"/>
            </w:tcBorders>
            <w:tcMar>
              <w:top w:w="0" w:type="dxa"/>
              <w:left w:w="108" w:type="dxa"/>
              <w:bottom w:w="0" w:type="dxa"/>
              <w:right w:w="108" w:type="dxa"/>
            </w:tcMar>
            <w:hideMark/>
          </w:tcPr>
          <w:p w14:paraId="472AE633" w14:textId="77777777" w:rsidR="00505F29" w:rsidRPr="00AC3B11" w:rsidRDefault="00505F29" w:rsidP="00336EF5">
            <w:pPr>
              <w:rPr>
                <w:rFonts w:cs="Times"/>
              </w:rPr>
            </w:pPr>
            <w:r w:rsidRPr="00AC3B11">
              <w:rPr>
                <w:rFonts w:cs="Times"/>
              </w:rPr>
              <w:t>[0] – [542] ms</w:t>
            </w:r>
          </w:p>
        </w:tc>
        <w:tc>
          <w:tcPr>
            <w:tcW w:w="3165" w:type="dxa"/>
            <w:tcBorders>
              <w:top w:val="nil"/>
              <w:left w:val="nil"/>
              <w:bottom w:val="single" w:sz="8" w:space="0" w:color="auto"/>
              <w:right w:val="single" w:sz="8" w:space="0" w:color="auto"/>
            </w:tcBorders>
            <w:tcMar>
              <w:top w:w="0" w:type="dxa"/>
              <w:left w:w="108" w:type="dxa"/>
              <w:bottom w:w="0" w:type="dxa"/>
              <w:right w:w="108" w:type="dxa"/>
            </w:tcMar>
            <w:hideMark/>
          </w:tcPr>
          <w:p w14:paraId="53CDFD9B" w14:textId="77777777" w:rsidR="00505F29" w:rsidRPr="00AC3B11" w:rsidRDefault="00505F29" w:rsidP="00336EF5">
            <w:pPr>
              <w:rPr>
                <w:rFonts w:cs="Times"/>
              </w:rPr>
            </w:pPr>
            <w:r w:rsidRPr="00AC3B11">
              <w:rPr>
                <w:rFonts w:cs="Times"/>
              </w:rPr>
              <w:t>Same as the unit of K_offset</w:t>
            </w:r>
          </w:p>
        </w:tc>
      </w:tr>
      <w:tr w:rsidR="00505F29" w:rsidRPr="00AC3B11" w14:paraId="52624613" w14:textId="77777777" w:rsidTr="00336EF5">
        <w:tc>
          <w:tcPr>
            <w:tcW w:w="3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02C37" w14:textId="77777777" w:rsidR="00505F29" w:rsidRPr="00AC3B11" w:rsidRDefault="00505F29" w:rsidP="00336EF5">
            <w:pPr>
              <w:rPr>
                <w:rFonts w:cs="Times"/>
              </w:rPr>
            </w:pPr>
            <w:r w:rsidRPr="00AC3B11">
              <w:rPr>
                <w:rFonts w:cs="Times"/>
              </w:rPr>
              <w:t>Option 2: Different value ranges of K_offset for different scenarios.</w:t>
            </w:r>
          </w:p>
        </w:tc>
        <w:tc>
          <w:tcPr>
            <w:tcW w:w="3167" w:type="dxa"/>
            <w:tcBorders>
              <w:top w:val="nil"/>
              <w:left w:val="nil"/>
              <w:bottom w:val="single" w:sz="8" w:space="0" w:color="auto"/>
              <w:right w:val="single" w:sz="8" w:space="0" w:color="auto"/>
            </w:tcBorders>
            <w:tcMar>
              <w:top w:w="0" w:type="dxa"/>
              <w:left w:w="108" w:type="dxa"/>
              <w:bottom w:w="0" w:type="dxa"/>
              <w:right w:w="108" w:type="dxa"/>
            </w:tcMar>
            <w:hideMark/>
          </w:tcPr>
          <w:p w14:paraId="029D317F" w14:textId="77777777" w:rsidR="00505F29" w:rsidRPr="00AC3B11" w:rsidRDefault="00505F29" w:rsidP="00336EF5">
            <w:pPr>
              <w:rPr>
                <w:rFonts w:cs="Times"/>
              </w:rPr>
            </w:pPr>
            <w:r w:rsidRPr="00AC3B11">
              <w:rPr>
                <w:rFonts w:cs="Times"/>
              </w:rPr>
              <w:t>LEO: [0] – [49] ms</w:t>
            </w:r>
          </w:p>
          <w:p w14:paraId="63807DD2" w14:textId="77777777" w:rsidR="00505F29" w:rsidRPr="00AC3B11" w:rsidRDefault="00505F29" w:rsidP="00336EF5">
            <w:pPr>
              <w:rPr>
                <w:rFonts w:cs="Times"/>
              </w:rPr>
            </w:pPr>
            <w:r w:rsidRPr="00AC3B11">
              <w:rPr>
                <w:rFonts w:cs="Times"/>
              </w:rPr>
              <w:t>MEO: [93] – [395] ms</w:t>
            </w:r>
          </w:p>
          <w:p w14:paraId="5367D355" w14:textId="77777777" w:rsidR="00505F29" w:rsidRPr="00AC3B11" w:rsidRDefault="00505F29" w:rsidP="00336EF5">
            <w:pPr>
              <w:rPr>
                <w:rFonts w:cs="Times"/>
              </w:rPr>
            </w:pPr>
            <w:r w:rsidRPr="00AC3B11">
              <w:rPr>
                <w:rFonts w:cs="Times"/>
              </w:rPr>
              <w:t>GEO: [477] – [542] ms</w:t>
            </w:r>
          </w:p>
          <w:p w14:paraId="51233FE4" w14:textId="77777777" w:rsidR="00505F29" w:rsidRPr="00AC3B11" w:rsidRDefault="00505F29" w:rsidP="00336EF5">
            <w:pPr>
              <w:rPr>
                <w:rFonts w:cs="Times"/>
              </w:rPr>
            </w:pPr>
            <w:r w:rsidRPr="00AC3B11">
              <w:rPr>
                <w:rFonts w:cs="Times"/>
              </w:rPr>
              <w:t>FFS: ATG and HAPS</w:t>
            </w:r>
          </w:p>
          <w:p w14:paraId="5056E9C4" w14:textId="77777777" w:rsidR="00505F29" w:rsidRPr="00AC3B11" w:rsidRDefault="00505F29" w:rsidP="00336EF5">
            <w:pPr>
              <w:rPr>
                <w:rFonts w:cs="Times"/>
              </w:rPr>
            </w:pPr>
            <w:r w:rsidRPr="00AC3B11">
              <w:rPr>
                <w:rFonts w:cs="Times"/>
              </w:rPr>
              <w:t>FFS: How to determine the scenarios</w:t>
            </w:r>
          </w:p>
        </w:tc>
        <w:tc>
          <w:tcPr>
            <w:tcW w:w="3165" w:type="dxa"/>
            <w:tcBorders>
              <w:top w:val="nil"/>
              <w:left w:val="nil"/>
              <w:bottom w:val="single" w:sz="8" w:space="0" w:color="auto"/>
              <w:right w:val="single" w:sz="8" w:space="0" w:color="auto"/>
            </w:tcBorders>
            <w:tcMar>
              <w:top w:w="0" w:type="dxa"/>
              <w:left w:w="108" w:type="dxa"/>
              <w:bottom w:w="0" w:type="dxa"/>
              <w:right w:w="108" w:type="dxa"/>
            </w:tcMar>
            <w:hideMark/>
          </w:tcPr>
          <w:p w14:paraId="3152D92C" w14:textId="77777777" w:rsidR="00505F29" w:rsidRPr="00AC3B11" w:rsidRDefault="00505F29" w:rsidP="00336EF5">
            <w:pPr>
              <w:rPr>
                <w:rFonts w:cs="Times"/>
              </w:rPr>
            </w:pPr>
            <w:r w:rsidRPr="00AC3B11">
              <w:rPr>
                <w:rFonts w:cs="Times"/>
              </w:rPr>
              <w:t>Same as the unit of K_offset</w:t>
            </w:r>
          </w:p>
        </w:tc>
      </w:tr>
      <w:tr w:rsidR="00505F29" w:rsidRPr="00AC3B11" w14:paraId="3AF4CCA3" w14:textId="77777777" w:rsidTr="00336EF5">
        <w:tc>
          <w:tcPr>
            <w:tcW w:w="94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71F9F" w14:textId="77777777" w:rsidR="00505F29" w:rsidRPr="00AC3B11" w:rsidRDefault="00505F29" w:rsidP="00336EF5">
            <w:pPr>
              <w:rPr>
                <w:rFonts w:cs="Times"/>
              </w:rPr>
            </w:pPr>
            <w:r w:rsidRPr="00AC3B11">
              <w:rPr>
                <w:rFonts w:cs="Times"/>
              </w:rPr>
              <w:t>Note: If deemed necessary, numbers in bracket can be further updated at RAN1#107-e.</w:t>
            </w:r>
          </w:p>
        </w:tc>
      </w:tr>
    </w:tbl>
    <w:p w14:paraId="36A69C45" w14:textId="77777777" w:rsidR="00505F29" w:rsidRDefault="00505F29" w:rsidP="00505F29">
      <w:pPr>
        <w:rPr>
          <w:rFonts w:cs="Times"/>
        </w:rPr>
      </w:pPr>
    </w:p>
    <w:p w14:paraId="30C5DD48" w14:textId="77777777" w:rsidR="00505F29" w:rsidRPr="00AC3B11" w:rsidRDefault="00505F29" w:rsidP="00505F29">
      <w:pPr>
        <w:rPr>
          <w:rFonts w:cs="Times"/>
        </w:rPr>
      </w:pPr>
      <w:r w:rsidRPr="005A2F2C">
        <w:rPr>
          <w:rFonts w:cs="Times"/>
          <w:highlight w:val="green"/>
        </w:rPr>
        <w:t>Agreement:</w:t>
      </w:r>
    </w:p>
    <w:p w14:paraId="31C6E14F" w14:textId="77777777" w:rsidR="00505F29" w:rsidRPr="00AC3B11" w:rsidRDefault="00505F29" w:rsidP="00505F29">
      <w:pPr>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91"/>
        <w:gridCol w:w="3092"/>
        <w:gridCol w:w="3076"/>
      </w:tblGrid>
      <w:tr w:rsidR="00505F29" w:rsidRPr="00AC3B11" w14:paraId="4A732651" w14:textId="77777777" w:rsidTr="00336EF5">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5BE587C" w14:textId="77777777" w:rsidR="00505F29" w:rsidRPr="00AC3B11" w:rsidRDefault="00505F29" w:rsidP="00336EF5">
            <w:pPr>
              <w:rPr>
                <w:rFonts w:cs="Times"/>
              </w:rPr>
            </w:pPr>
            <w:r w:rsidRPr="00AC3B11">
              <w:rPr>
                <w:rFonts w:cs="Times"/>
              </w:rPr>
              <w:lastRenderedPageBreak/>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2555D25" w14:textId="77777777" w:rsidR="00505F29" w:rsidRPr="00AC3B11" w:rsidRDefault="00505F29" w:rsidP="00336EF5">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E334F2" w14:textId="77777777" w:rsidR="00505F29" w:rsidRPr="00AC3B11" w:rsidRDefault="00505F29" w:rsidP="00336EF5">
            <w:pPr>
              <w:rPr>
                <w:rFonts w:cs="Times"/>
              </w:rPr>
            </w:pPr>
            <w:r w:rsidRPr="00AC3B11">
              <w:rPr>
                <w:rFonts w:cs="Times"/>
              </w:rPr>
              <w:t>Step size</w:t>
            </w:r>
          </w:p>
        </w:tc>
      </w:tr>
      <w:tr w:rsidR="00505F29" w:rsidRPr="00AC3B11" w14:paraId="0474409E" w14:textId="77777777" w:rsidTr="00336EF5">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1DBC0" w14:textId="77777777" w:rsidR="00505F29" w:rsidRPr="00AC3B11" w:rsidRDefault="00505F29" w:rsidP="00336EF5">
            <w:pPr>
              <w:rPr>
                <w:rFonts w:cs="Times"/>
              </w:rPr>
            </w:pPr>
            <w:r w:rsidRPr="00AC3B11">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CA824EB" w14:textId="77777777" w:rsidR="00505F29" w:rsidRPr="00AC3B11" w:rsidRDefault="00505F29" w:rsidP="00336EF5">
            <w:pPr>
              <w:rPr>
                <w:rFonts w:cs="Times"/>
              </w:rPr>
            </w:pPr>
            <w:r w:rsidRPr="00AC3B11">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99D5936" w14:textId="77777777" w:rsidR="00505F29" w:rsidRPr="00AC3B11" w:rsidRDefault="00505F29" w:rsidP="00336EF5">
            <w:pPr>
              <w:rPr>
                <w:rFonts w:cs="Times"/>
              </w:rPr>
            </w:pPr>
            <w:r w:rsidRPr="00AC3B11">
              <w:rPr>
                <w:rFonts w:cs="Times"/>
              </w:rPr>
              <w:t>Same as the unit of K_mac</w:t>
            </w:r>
          </w:p>
        </w:tc>
      </w:tr>
      <w:tr w:rsidR="00505F29" w:rsidRPr="00AC3B11" w14:paraId="6303E20D" w14:textId="77777777" w:rsidTr="00336EF5">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F9243" w14:textId="77777777" w:rsidR="00505F29" w:rsidRPr="00AC3B11" w:rsidRDefault="00505F29" w:rsidP="00336EF5">
            <w:pPr>
              <w:rPr>
                <w:rFonts w:cs="Times"/>
              </w:rPr>
            </w:pPr>
            <w:r w:rsidRPr="00AC3B11">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DFAFC43" w14:textId="77777777" w:rsidR="00505F29" w:rsidRPr="00AC3B11" w:rsidRDefault="00505F29" w:rsidP="00336EF5">
            <w:pPr>
              <w:rPr>
                <w:rFonts w:cs="Times"/>
              </w:rPr>
            </w:pPr>
            <w:r w:rsidRPr="00AC3B11">
              <w:rPr>
                <w:rFonts w:cs="Times"/>
              </w:rPr>
              <w:t>LEO: [1] – [25] ms</w:t>
            </w:r>
          </w:p>
          <w:p w14:paraId="50AC9425" w14:textId="77777777" w:rsidR="00505F29" w:rsidRPr="00AC3B11" w:rsidRDefault="00505F29" w:rsidP="00336EF5">
            <w:pPr>
              <w:rPr>
                <w:rFonts w:cs="Times"/>
              </w:rPr>
            </w:pPr>
            <w:r w:rsidRPr="00AC3B11">
              <w:rPr>
                <w:rFonts w:cs="Times"/>
              </w:rPr>
              <w:t>MEO: [1] – [198] ms</w:t>
            </w:r>
          </w:p>
          <w:p w14:paraId="07BC2863" w14:textId="77777777" w:rsidR="00505F29" w:rsidRPr="00AC3B11" w:rsidRDefault="00505F29" w:rsidP="00336EF5">
            <w:pPr>
              <w:rPr>
                <w:rFonts w:cs="Times"/>
              </w:rPr>
            </w:pPr>
            <w:r w:rsidRPr="00AC3B11">
              <w:rPr>
                <w:rFonts w:cs="Times"/>
              </w:rPr>
              <w:t>GEO: [1] – [271] ms</w:t>
            </w:r>
          </w:p>
          <w:p w14:paraId="58660261" w14:textId="77777777" w:rsidR="00505F29" w:rsidRPr="00AC3B11" w:rsidRDefault="00505F29" w:rsidP="00336EF5">
            <w:pPr>
              <w:rPr>
                <w:rFonts w:cs="Times"/>
              </w:rPr>
            </w:pPr>
            <w:r w:rsidRPr="00AC3B11">
              <w:rPr>
                <w:rFonts w:cs="Times"/>
              </w:rPr>
              <w:t>FFS: ATG and HAPS</w:t>
            </w:r>
          </w:p>
          <w:p w14:paraId="5C7627B7" w14:textId="77777777" w:rsidR="00505F29" w:rsidRPr="00AC3B11" w:rsidRDefault="00505F29" w:rsidP="00336EF5">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BDE8793" w14:textId="77777777" w:rsidR="00505F29" w:rsidRPr="00AC3B11" w:rsidRDefault="00505F29" w:rsidP="00336EF5">
            <w:pPr>
              <w:rPr>
                <w:rFonts w:cs="Times"/>
              </w:rPr>
            </w:pPr>
            <w:r w:rsidRPr="00AC3B11">
              <w:rPr>
                <w:rFonts w:cs="Times"/>
              </w:rPr>
              <w:t>Same as the unit of K_mac</w:t>
            </w:r>
          </w:p>
        </w:tc>
      </w:tr>
      <w:tr w:rsidR="00505F29" w:rsidRPr="00AC3B11" w14:paraId="3460AD3C" w14:textId="77777777" w:rsidTr="00336EF5">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3E9C9" w14:textId="77777777" w:rsidR="00505F29" w:rsidRPr="00AC3B11" w:rsidRDefault="00505F29" w:rsidP="00336EF5">
            <w:pPr>
              <w:rPr>
                <w:rFonts w:cs="Times"/>
              </w:rPr>
            </w:pPr>
            <w:r w:rsidRPr="00AC3B11">
              <w:rPr>
                <w:rFonts w:cs="Times"/>
              </w:rPr>
              <w:t>Note 1: If deemed necessary, numbers in bracket can be further updated at RAN1#107-e.</w:t>
            </w:r>
          </w:p>
          <w:p w14:paraId="5C2C8E6C" w14:textId="77777777" w:rsidR="00505F29" w:rsidRPr="00AC3B11" w:rsidRDefault="00505F29" w:rsidP="00336EF5">
            <w:pPr>
              <w:rPr>
                <w:rFonts w:cs="Times"/>
              </w:rPr>
            </w:pPr>
            <w:r w:rsidRPr="00AC3B11">
              <w:rPr>
                <w:rFonts w:cs="Times"/>
              </w:rPr>
              <w:t>Note 2: Note that it was agreed already that when UE is not provided by network with a K_mac value, UE assumes K_mac = 0.</w:t>
            </w:r>
          </w:p>
        </w:tc>
      </w:tr>
    </w:tbl>
    <w:p w14:paraId="76F52705" w14:textId="77777777" w:rsidR="00811DFF" w:rsidRDefault="00811DFF" w:rsidP="009C0798">
      <w:pPr>
        <w:spacing w:after="180"/>
        <w:contextualSpacing/>
        <w:jc w:val="both"/>
        <w:rPr>
          <w:szCs w:val="20"/>
        </w:rPr>
      </w:pPr>
    </w:p>
    <w:p w14:paraId="2C15A316" w14:textId="1113378E" w:rsidR="00382F61" w:rsidRPr="009C0798" w:rsidRDefault="00EC0D2F" w:rsidP="009C0798">
      <w:pPr>
        <w:spacing w:after="180"/>
        <w:contextualSpacing/>
        <w:jc w:val="both"/>
        <w:rPr>
          <w:szCs w:val="20"/>
        </w:rPr>
      </w:pPr>
      <w:r w:rsidRPr="00925BAD">
        <w:rPr>
          <w:szCs w:val="20"/>
        </w:rPr>
        <w:t xml:space="preserve">In this contribution, we </w:t>
      </w:r>
      <w:r w:rsidR="009C0798" w:rsidRPr="00925BAD">
        <w:rPr>
          <w:szCs w:val="20"/>
        </w:rPr>
        <w:t xml:space="preserve">provide our views on the topics </w:t>
      </w:r>
      <w:r w:rsidR="009C0798" w:rsidRPr="00131294">
        <w:rPr>
          <w:szCs w:val="20"/>
        </w:rPr>
        <w:t>of</w:t>
      </w:r>
      <w:r w:rsidR="00811DFF" w:rsidRPr="00131294">
        <w:rPr>
          <w:szCs w:val="20"/>
        </w:rPr>
        <w:t xml:space="preserve"> </w:t>
      </w:r>
      <w:r w:rsidR="00C66C34" w:rsidRPr="00131294">
        <w:rPr>
          <w:szCs w:val="20"/>
        </w:rPr>
        <w:t xml:space="preserve">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66C34" w:rsidRPr="00131294">
        <w:rPr>
          <w:szCs w:val="20"/>
        </w:rPr>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66C34" w:rsidRPr="00131294">
        <w:rPr>
          <w:szCs w:val="20"/>
        </w:rPr>
        <w:t>, UE reporting of information about UE specific TA, MAC CE activation time</w:t>
      </w:r>
      <w:r w:rsidR="001F6188">
        <w:rPr>
          <w:szCs w:val="20"/>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C66C34" w:rsidRPr="00131294">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00B805E1" w:rsidRPr="00131294">
        <w:rPr>
          <w:szCs w:val="20"/>
        </w:rPr>
        <w:t xml:space="preserve"> range extension</w:t>
      </w:r>
      <w:r w:rsidR="00925BAD" w:rsidRPr="00131294">
        <w:rPr>
          <w:szCs w:val="20"/>
        </w:rPr>
        <w:t xml:space="preserve"> and</w:t>
      </w:r>
      <w:r w:rsidR="00B805E1" w:rsidRPr="00131294">
        <w:rPr>
          <w:szCs w:val="20"/>
        </w:rPr>
        <w:t xml:space="preserve"> timing relationship enhancement for beam failure recovery</w:t>
      </w:r>
      <w:r w:rsidR="00094D57" w:rsidRPr="00131294">
        <w:rPr>
          <w:szCs w:val="20"/>
        </w:rPr>
        <w:t>.</w:t>
      </w:r>
      <w:r w:rsidR="00407950">
        <w:rPr>
          <w:szCs w:val="20"/>
        </w:rPr>
        <w:t xml:space="preserve"> </w:t>
      </w:r>
    </w:p>
    <w:p w14:paraId="2737EA15" w14:textId="46DA8FA6" w:rsidR="00355ACF" w:rsidRDefault="00EA5A5B" w:rsidP="00CA376E">
      <w:pPr>
        <w:pStyle w:val="Heading1"/>
      </w:pPr>
      <w:r>
        <w:t>Discussion</w:t>
      </w:r>
    </w:p>
    <w:p w14:paraId="646BB249" w14:textId="32CDCCCA" w:rsidR="000F21AD" w:rsidRDefault="0054558E" w:rsidP="005B5115">
      <w:pPr>
        <w:pStyle w:val="Heading2"/>
      </w:pPr>
      <w:r>
        <w:t xml:space="preserve">Cell specific </w:t>
      </w:r>
      <w:r w:rsidR="00671792">
        <w:t>K_offset</w:t>
      </w:r>
    </w:p>
    <w:p w14:paraId="48F41B4B" w14:textId="7D5E9F07" w:rsidR="001B3880" w:rsidRDefault="001B3880" w:rsidP="000F21AD">
      <w:pPr>
        <w:jc w:val="both"/>
      </w:pPr>
      <w:r>
        <w:t>In defining the value range of</w:t>
      </w:r>
      <w:r w:rsidR="0054558E">
        <w:t xml:space="preserve"> cell specific</w:t>
      </w:r>
      <w: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it was agreed </w:t>
      </w:r>
      <w:r>
        <w:fldChar w:fldCharType="begin"/>
      </w:r>
      <w:r>
        <w:instrText xml:space="preserve"> REF _Ref83193069 \r \h </w:instrText>
      </w:r>
      <w:r>
        <w:fldChar w:fldCharType="separate"/>
      </w:r>
      <w:r w:rsidR="00627E67">
        <w:t>[3]</w:t>
      </w:r>
      <w:r>
        <w:fldChar w:fldCharType="end"/>
      </w:r>
      <w:r>
        <w:t xml:space="preserve"> to down select from two options. In Option 1, a single value range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used for all scenarios. In Option 2, different value ranges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used for different scenarios. </w:t>
      </w:r>
    </w:p>
    <w:p w14:paraId="55BCDE0D" w14:textId="499F825F" w:rsidR="006E7FC6" w:rsidRDefault="006E7FC6" w:rsidP="000F21AD">
      <w:pPr>
        <w:jc w:val="both"/>
      </w:pPr>
    </w:p>
    <w:p w14:paraId="75BD6ACD" w14:textId="3C262E08" w:rsidR="001B3880" w:rsidRDefault="006E7FC6" w:rsidP="000F21AD">
      <w:pPr>
        <w:jc w:val="both"/>
      </w:pPr>
      <w:r>
        <w:t>Specifically, the value range of</w:t>
      </w:r>
      <w:r w:rsidR="0054558E">
        <w:t xml:space="preserve"> cell specific</w:t>
      </w:r>
      <w: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in Option 1 is 0 - 542 ms, while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in Option 2 is 0 - 49 ms for LEO, 93 - 395 ms for MEO and 477 – 542 ms for GEO. Subsequently, the number of bits for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10 bits in Option 1 and </w:t>
      </w:r>
      <w:r w:rsidR="00EB1433">
        <w:t>6/9/6 bits for LEO/MEO/GEO in Option 2. Here, it is assumed that UE can know satellite scenario based on the serving satellite ephemeris and hence no additional signaling is needed for indicating satellite scenario.</w:t>
      </w:r>
      <w:r w:rsidR="004A4465">
        <w:t xml:space="preserve"> </w:t>
      </w:r>
    </w:p>
    <w:p w14:paraId="7B80B460" w14:textId="1394D192" w:rsidR="004A4465" w:rsidRDefault="004A4465" w:rsidP="000F21AD">
      <w:pPr>
        <w:jc w:val="both"/>
      </w:pPr>
    </w:p>
    <w:p w14:paraId="4F3889E8" w14:textId="1F1CCA96" w:rsidR="004A4465" w:rsidRDefault="004A4465" w:rsidP="000F21AD">
      <w:pPr>
        <w:jc w:val="both"/>
      </w:pPr>
      <w:r>
        <w:t xml:space="preserve">The main advantage of Option 1 is it is simple, straightforward and less specification efforts. The main advantage of Option 2 is the signaling overhead saving. </w:t>
      </w:r>
      <w:r w:rsidR="00505F29">
        <w:t>Between</w:t>
      </w:r>
      <w:r>
        <w:t xml:space="preserve"> these</w:t>
      </w:r>
      <w:r w:rsidR="00505F29">
        <w:t xml:space="preserve"> two</w:t>
      </w:r>
      <w:r>
        <w:t xml:space="preserve"> options, we slightly prefer Option </w:t>
      </w:r>
      <w:r w:rsidR="00505F29">
        <w:t>1, considering the limited time for Release 17 specification</w:t>
      </w:r>
      <w:r>
        <w:t>.</w:t>
      </w:r>
      <w:r w:rsidR="00505F29">
        <w:t xml:space="preserve"> </w:t>
      </w:r>
    </w:p>
    <w:p w14:paraId="13417A26" w14:textId="51F7CB49" w:rsidR="00EB1433" w:rsidRDefault="00EB1433" w:rsidP="000F21AD">
      <w:pPr>
        <w:jc w:val="both"/>
      </w:pPr>
    </w:p>
    <w:p w14:paraId="18D9672B" w14:textId="307938D3" w:rsidR="004E3DFC" w:rsidRDefault="001B3880" w:rsidP="000F21AD">
      <w:pPr>
        <w:jc w:val="both"/>
      </w:pPr>
      <w:r w:rsidRPr="00505F29">
        <w:rPr>
          <w:b/>
          <w:i/>
          <w:u w:val="single"/>
        </w:rPr>
        <w:t xml:space="preserve">Proposal </w:t>
      </w:r>
      <w:r w:rsidR="00EB1433" w:rsidRPr="00505F29">
        <w:rPr>
          <w:b/>
          <w:i/>
          <w:u w:val="single"/>
        </w:rPr>
        <w:t>1</w:t>
      </w:r>
      <w:r w:rsidRPr="00505F29">
        <w:rPr>
          <w:b/>
          <w:i/>
          <w:u w:val="single"/>
        </w:rPr>
        <w:t>:</w:t>
      </w:r>
      <w:r w:rsidRPr="00505F29">
        <w:rPr>
          <w:i/>
        </w:rPr>
        <w:t xml:space="preserve">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05F29">
        <w:rPr>
          <w:i/>
        </w:rPr>
        <w:t xml:space="preserve"> is </w:t>
      </w:r>
      <w:r w:rsidR="00505F29">
        <w:rPr>
          <w:i/>
        </w:rPr>
        <w:t xml:space="preserve">0-542 ms for all scenarios. </w:t>
      </w:r>
    </w:p>
    <w:p w14:paraId="5B0920C4" w14:textId="3C48DB9E" w:rsidR="004E3DFC" w:rsidRDefault="004E3DFC" w:rsidP="000F21AD">
      <w:pPr>
        <w:jc w:val="both"/>
      </w:pPr>
    </w:p>
    <w:p w14:paraId="521E0813" w14:textId="6FAB6C84" w:rsidR="0054558E" w:rsidRPr="000F21AD" w:rsidRDefault="0054558E" w:rsidP="0054558E">
      <w:pPr>
        <w:pStyle w:val="Heading2"/>
      </w:pPr>
      <w:r>
        <w:t>UE specific K_offset</w:t>
      </w:r>
    </w:p>
    <w:p w14:paraId="0793CA00" w14:textId="6F01D7FE" w:rsidR="00AB3792" w:rsidRDefault="00AB3792" w:rsidP="00E14028">
      <w:pPr>
        <w:jc w:val="both"/>
      </w:pPr>
      <w:r>
        <w:t xml:space="preserve">It was agreed </w:t>
      </w:r>
      <w:r>
        <w:fldChar w:fldCharType="begin"/>
      </w:r>
      <w:r>
        <w:instrText xml:space="preserve"> REF _Ref83193069 \r \h </w:instrText>
      </w:r>
      <w:r w:rsidR="00E14028">
        <w:instrText xml:space="preserve"> \* MERGEFORMAT </w:instrText>
      </w:r>
      <w:r>
        <w:fldChar w:fldCharType="separate"/>
      </w:r>
      <w:r w:rsidR="00627E67">
        <w:t>[3]</w:t>
      </w:r>
      <w:r>
        <w:fldChar w:fldCharType="end"/>
      </w:r>
      <w:r>
        <w:t xml:space="preserve"> that the UE</w:t>
      </w:r>
      <w:r w:rsidR="00DC50CE">
        <w:t xml:space="preserve"> </w:t>
      </w:r>
      <w:r>
        <w:t xml:space="preserv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14028">
        <w:t xml:space="preserve"> </w:t>
      </w:r>
      <w:r>
        <w:t>can be provided and updated by network with MAC CE. It is open whe</w:t>
      </w:r>
      <w:r w:rsidR="00DC50CE">
        <w:t xml:space="preserve">ther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14028">
        <w:t xml:space="preserve"> </w:t>
      </w:r>
      <w:r w:rsidR="00DC50CE">
        <w:t xml:space="preserve">can be provided and updated by network with RRC reconfiguration. </w:t>
      </w:r>
    </w:p>
    <w:p w14:paraId="63760109" w14:textId="41129DF8" w:rsidR="00DC50CE" w:rsidRDefault="00DC50CE" w:rsidP="00AB3792"/>
    <w:p w14:paraId="5613E570" w14:textId="71D395BF" w:rsidR="00A2237B" w:rsidRDefault="00DC50CE" w:rsidP="00916B3D">
      <w:pPr>
        <w:jc w:val="both"/>
      </w:pPr>
      <w:r>
        <w:t xml:space="preserve">In our view, it is possible to indicate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This is used when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updated infrequently (e.g., in GEO scenario). However, given that it is </w:t>
      </w:r>
      <w:r w:rsidR="00CB186E">
        <w:t xml:space="preserve">already </w:t>
      </w:r>
      <w:r>
        <w:t xml:space="preserve">supported that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signaled via MA</w:t>
      </w:r>
      <w:r w:rsidR="00E14028">
        <w:t>C</w:t>
      </w:r>
      <w:r>
        <w:t xml:space="preserve"> CE, we think it is not urgent to additionally support the signaling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which involves </w:t>
      </w:r>
      <w:r>
        <w:lastRenderedPageBreak/>
        <w:t xml:space="preserve">additional discussions and introduces additional specification impact. Considering the time limitation, we are fine not to additionally support signaling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in Release 17. </w:t>
      </w:r>
    </w:p>
    <w:p w14:paraId="1E415B47" w14:textId="77777777" w:rsidR="00671792" w:rsidRPr="00671792" w:rsidRDefault="00671792" w:rsidP="00916B3D">
      <w:pPr>
        <w:jc w:val="both"/>
      </w:pPr>
    </w:p>
    <w:p w14:paraId="175996C5" w14:textId="5428F0BC" w:rsidR="00671792" w:rsidRDefault="00BC3B0D" w:rsidP="00916B3D">
      <w:pPr>
        <w:jc w:val="both"/>
        <w:rPr>
          <w:b/>
          <w:bCs/>
          <w:i/>
        </w:rPr>
      </w:pPr>
      <w:r w:rsidRPr="0054558E">
        <w:rPr>
          <w:b/>
          <w:bCs/>
          <w:i/>
          <w:u w:val="single"/>
        </w:rPr>
        <w:t xml:space="preserve">Proposal </w:t>
      </w:r>
      <w:r w:rsidR="00505F29" w:rsidRPr="0054558E">
        <w:rPr>
          <w:b/>
          <w:bCs/>
          <w:i/>
          <w:u w:val="single"/>
        </w:rPr>
        <w:t>2</w:t>
      </w:r>
      <w:r w:rsidRPr="0054558E">
        <w:rPr>
          <w:b/>
          <w:bCs/>
          <w:i/>
          <w:u w:val="single"/>
        </w:rPr>
        <w:t>:</w:t>
      </w:r>
      <w:r w:rsidRPr="0054558E">
        <w:rPr>
          <w:b/>
          <w:bCs/>
          <w:i/>
        </w:rPr>
        <w:t xml:space="preserve"> </w:t>
      </w:r>
      <w:r w:rsidR="00671792" w:rsidRPr="0054558E">
        <w:rPr>
          <w:i/>
        </w:rPr>
        <w:t>UE specific</w:t>
      </w:r>
      <w:r w:rsidR="00586824" w:rsidRPr="0054558E">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86824" w:rsidRPr="0054558E">
        <w:rPr>
          <w:i/>
        </w:rPr>
        <w:t xml:space="preserve"> </w:t>
      </w:r>
      <w:r w:rsidR="00671792" w:rsidRPr="0054558E">
        <w:rPr>
          <w:i/>
        </w:rPr>
        <w:t>signaled</w:t>
      </w:r>
      <w:r w:rsidR="00586824" w:rsidRPr="0054558E">
        <w:rPr>
          <w:i/>
        </w:rPr>
        <w:t xml:space="preserve"> via RRC reconfiguration is not supported in Release 17.</w:t>
      </w:r>
      <w:r w:rsidR="00586824" w:rsidRPr="00586824">
        <w:rPr>
          <w:b/>
          <w:bCs/>
          <w:i/>
        </w:rPr>
        <w:t xml:space="preserve"> </w:t>
      </w:r>
    </w:p>
    <w:p w14:paraId="20603923" w14:textId="57F2E35A" w:rsidR="00671792" w:rsidRDefault="00671792" w:rsidP="00916B3D">
      <w:pPr>
        <w:jc w:val="both"/>
        <w:rPr>
          <w:b/>
          <w:bCs/>
          <w:i/>
        </w:rPr>
      </w:pPr>
    </w:p>
    <w:p w14:paraId="50635426" w14:textId="79AFCC24" w:rsidR="00853CE5" w:rsidRDefault="00A07C01" w:rsidP="00916B3D">
      <w:pPr>
        <w:jc w:val="both"/>
      </w:pPr>
      <w:r>
        <w:rPr>
          <w:iCs/>
        </w:rPr>
        <w:t>Regarding the</w:t>
      </w:r>
      <w:r>
        <w:t xml:space="preserve"> unit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we think it is better to be</w:t>
      </w:r>
      <w:r w:rsidR="00853CE5">
        <w:t xml:space="preserve"> </w:t>
      </w:r>
      <w:r>
        <w:t xml:space="preserve">aligned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for simplicity. Similarly, the value range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set</w:t>
      </w:r>
      <w:r w:rsidR="00E14028">
        <w:t xml:space="preserve"> the same as</w:t>
      </w:r>
      <w:r>
        <w:t xml:space="preserve"> that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3F57">
        <w:t xml:space="preserve">. Specifically, the MAC CE contains an absolute value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3F57">
        <w:t xml:space="preserve">, rather than a differential value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3F57">
        <w:t>.</w:t>
      </w:r>
      <w:r w:rsidR="0054558E">
        <w:t xml:space="preserve"> This avoids the ambiguity during the period of updating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4558E">
        <w:t>.</w:t>
      </w:r>
    </w:p>
    <w:p w14:paraId="712D036F" w14:textId="77777777" w:rsidR="00853CE5" w:rsidRPr="00A07C01" w:rsidRDefault="00853CE5" w:rsidP="00916B3D">
      <w:pPr>
        <w:jc w:val="both"/>
        <w:rPr>
          <w:iCs/>
        </w:rPr>
      </w:pPr>
    </w:p>
    <w:p w14:paraId="4915F8D8" w14:textId="68378600" w:rsidR="00A07C01" w:rsidRDefault="00A07C01" w:rsidP="00A07C01">
      <w:pPr>
        <w:jc w:val="both"/>
        <w:rPr>
          <w:i/>
        </w:rPr>
      </w:pPr>
      <w:r w:rsidRPr="0054558E">
        <w:rPr>
          <w:b/>
          <w:bCs/>
          <w:i/>
          <w:u w:val="single"/>
        </w:rPr>
        <w:t xml:space="preserve">Proposal </w:t>
      </w:r>
      <w:r w:rsidR="0054558E" w:rsidRPr="0054558E">
        <w:rPr>
          <w:b/>
          <w:bCs/>
          <w:i/>
          <w:u w:val="single"/>
        </w:rPr>
        <w:t>3</w:t>
      </w:r>
      <w:r w:rsidRPr="0054558E">
        <w:rPr>
          <w:b/>
          <w:bCs/>
          <w:i/>
          <w:u w:val="single"/>
        </w:rPr>
        <w:t>:</w:t>
      </w:r>
      <w:r w:rsidRPr="0054558E">
        <w:rPr>
          <w:b/>
          <w:bCs/>
          <w:i/>
        </w:rPr>
        <w:t xml:space="preserve"> </w:t>
      </w:r>
      <w:r w:rsidRPr="0054558E">
        <w:rPr>
          <w:i/>
        </w:rPr>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4558E">
        <w:rPr>
          <w:i/>
        </w:rPr>
        <w:t xml:space="preserve"> has the same unit and value range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3F57" w:rsidRPr="0054558E">
        <w:rPr>
          <w:i/>
        </w:rPr>
        <w:t xml:space="preserve">, and MAC CE contains a full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3F57" w:rsidRPr="0054558E">
        <w:rPr>
          <w:i/>
        </w:rPr>
        <w:t xml:space="preserve"> value.</w:t>
      </w:r>
      <w:r w:rsidR="00843F57">
        <w:rPr>
          <w:i/>
        </w:rPr>
        <w:t xml:space="preserve"> </w:t>
      </w:r>
      <w:r>
        <w:rPr>
          <w:i/>
        </w:rPr>
        <w:t xml:space="preserve"> </w:t>
      </w:r>
    </w:p>
    <w:p w14:paraId="3F30CFD5" w14:textId="77777777" w:rsidR="00044B46" w:rsidRDefault="00044B46" w:rsidP="005B5115">
      <w:pPr>
        <w:jc w:val="both"/>
      </w:pPr>
    </w:p>
    <w:p w14:paraId="21763B76" w14:textId="1BE18A6B" w:rsidR="00671792" w:rsidRPr="00336EF5" w:rsidRDefault="00671792" w:rsidP="00671792">
      <w:pPr>
        <w:pStyle w:val="Heading2"/>
      </w:pPr>
      <w:r w:rsidRPr="00336EF5">
        <w:t>UE reporting of information about UE specific TA</w:t>
      </w:r>
    </w:p>
    <w:p w14:paraId="2B0626DB" w14:textId="4B1A0699" w:rsidR="008E0418" w:rsidRDefault="00D7596A" w:rsidP="005B5115">
      <w:pPr>
        <w:jc w:val="both"/>
      </w:pPr>
      <w:r>
        <w:t>The value of</w:t>
      </w:r>
      <w:r w:rsidR="005B5115">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w:t>
      </w:r>
      <w:r w:rsidR="00E003EE">
        <w:t>is supposed to be</w:t>
      </w:r>
      <w:r w:rsidR="0056750F">
        <w:t xml:space="preserve"> larger than UE</w:t>
      </w:r>
      <w:r w:rsidR="008E0418">
        <w:t>’s full</w:t>
      </w:r>
      <w:r w:rsidR="0056750F">
        <w:t xml:space="preserve"> timing advance (TA) in order to achieve casual scheduling. The UE</w:t>
      </w:r>
      <w:r w:rsidR="008E0418">
        <w:t>’s full</w:t>
      </w:r>
      <w:r w:rsidR="0056750F">
        <w:t xml:space="preserve"> TA </w:t>
      </w:r>
      <w:r w:rsidR="008E0418">
        <w:t>is composed of UE specific TA</w:t>
      </w:r>
      <w:r w:rsidR="00844187">
        <w:t>,</w:t>
      </w:r>
      <w:r w:rsidR="008E0418">
        <w:t xml:space="preserve"> broadcasted common TA</w:t>
      </w:r>
      <w:r w:rsidR="00155BF6">
        <w:t>, as well as</w:t>
      </w:r>
      <w:r w:rsidR="00844187">
        <w:t xml:space="preserve"> </w:t>
      </w:r>
      <w:r w:rsidR="00155BF6">
        <w:t>TA command received from gNB</w:t>
      </w:r>
      <w:r w:rsidR="008E0418">
        <w:t xml:space="preserve">. The UE specific TA </w:t>
      </w:r>
      <w:r w:rsidR="0056750F">
        <w:t>depends on the</w:t>
      </w:r>
      <w:r w:rsidR="005B5115">
        <w:t xml:space="preserve"> distance between UE and serving satellit</w:t>
      </w:r>
      <w:r>
        <w:t>e</w:t>
      </w:r>
      <w:r w:rsidR="008E0418">
        <w:t>, which is</w:t>
      </w:r>
      <w:r w:rsidR="00E003EE">
        <w:t xml:space="preserve"> calculated</w:t>
      </w:r>
      <w:r w:rsidR="008E0418">
        <w:t xml:space="preserve"> by</w:t>
      </w:r>
      <w:r w:rsidR="00E003EE">
        <w:t xml:space="preserve"> UE based on its GNSS location</w:t>
      </w:r>
      <w:r w:rsidR="008E0418">
        <w:t xml:space="preserve"> and serving satellite ephemeris. Note that gNB is unable to autonomously derive UE specific TA</w:t>
      </w:r>
      <w:r w:rsidR="00844187">
        <w:t>, without the knowledge of UE’s GNSS location</w:t>
      </w:r>
      <w:r w:rsidR="008E0418">
        <w:t>. If UE does not report the information about UE specific TA to gNB, then gNB is unable to know whether and</w:t>
      </w:r>
      <w:r w:rsidR="00844187">
        <w:t xml:space="preserve"> how to update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4187">
        <w:t>.</w:t>
      </w:r>
    </w:p>
    <w:p w14:paraId="4F06117F" w14:textId="36DA0C0E" w:rsidR="00844187" w:rsidRDefault="00844187" w:rsidP="005B5115">
      <w:pPr>
        <w:jc w:val="both"/>
      </w:pPr>
    </w:p>
    <w:p w14:paraId="3C1215C9" w14:textId="7CFF673C" w:rsidR="00844187" w:rsidRDefault="00844187" w:rsidP="00844187">
      <w:pPr>
        <w:jc w:val="both"/>
      </w:pPr>
      <w:r>
        <w:t xml:space="preserve">In the RAN2 LS </w:t>
      </w:r>
      <w:r>
        <w:fldChar w:fldCharType="begin"/>
      </w:r>
      <w:r>
        <w:instrText xml:space="preserve"> REF _Ref75189328 \r \h </w:instrText>
      </w:r>
      <w:r>
        <w:fldChar w:fldCharType="separate"/>
      </w:r>
      <w:r w:rsidR="00627E67">
        <w:t>[4]</w:t>
      </w:r>
      <w:r>
        <w:fldChar w:fldCharType="end"/>
      </w:r>
      <w:r>
        <w:t>, it was mentioned that UE may report information about the UE specific TA pre-compensation. The exact content and frequency of UE reporting of information about the UE specific TA pre-compensation are based on RAN1’s input.</w:t>
      </w:r>
    </w:p>
    <w:p w14:paraId="2A3DAB6C" w14:textId="4852D564" w:rsidR="00844187" w:rsidRDefault="00844187" w:rsidP="00844187">
      <w:pPr>
        <w:jc w:val="both"/>
      </w:pPr>
    </w:p>
    <w:p w14:paraId="76AAED1F" w14:textId="42AA12D0" w:rsidR="009A1054" w:rsidRDefault="00336EF5" w:rsidP="00844187">
      <w:pPr>
        <w:jc w:val="both"/>
      </w:pPr>
      <w:r>
        <w:t xml:space="preserve">It was agreed </w:t>
      </w:r>
      <w:r>
        <w:fldChar w:fldCharType="begin"/>
      </w:r>
      <w:r>
        <w:instrText xml:space="preserve"> REF _Ref86402557 \r \h </w:instrText>
      </w:r>
      <w:r>
        <w:fldChar w:fldCharType="separate"/>
      </w:r>
      <w:r w:rsidR="00627E67">
        <w:t>[3]</w:t>
      </w:r>
      <w:r>
        <w:fldChar w:fldCharType="end"/>
      </w:r>
      <w:r>
        <w:t xml:space="preserve"> that the granularity of the reported TA is slot. R</w:t>
      </w:r>
      <w:r w:rsidR="009A1054">
        <w:t xml:space="preserve">egarding the contents to be reported by UE, we think the signaling overhead could be reduced if </w:t>
      </w:r>
      <w:r w:rsidR="00152298">
        <w:t xml:space="preserve">a </w:t>
      </w:r>
      <w:r w:rsidR="009A1054">
        <w:t xml:space="preserve">differential value is reported. For example, UE could report the differential UE specific TA or </w:t>
      </w:r>
      <w:r w:rsidR="0034015C">
        <w:t xml:space="preserve">differential </w:t>
      </w:r>
      <w:r w:rsidR="009A1054">
        <w:t xml:space="preserve">full TA, i.e., the difference between the current UE specific TA or full TA and </w:t>
      </w:r>
      <w:r w:rsidR="00353A6F">
        <w:t xml:space="preserve">the </w:t>
      </w:r>
      <w:r w:rsidR="009A1054">
        <w:t xml:space="preserve">last reported UE specific TA or full TA. </w:t>
      </w:r>
    </w:p>
    <w:p w14:paraId="64111C53" w14:textId="7F789682" w:rsidR="00152298" w:rsidRDefault="00152298" w:rsidP="00844187">
      <w:pPr>
        <w:jc w:val="both"/>
      </w:pPr>
    </w:p>
    <w:p w14:paraId="1EFA1FE2" w14:textId="5F844057" w:rsidR="00152298" w:rsidRDefault="00152298" w:rsidP="00844187">
      <w:pPr>
        <w:jc w:val="both"/>
        <w:rPr>
          <w:i/>
        </w:rPr>
      </w:pPr>
      <w:r w:rsidRPr="00586824">
        <w:rPr>
          <w:b/>
          <w:bCs/>
          <w:i/>
          <w:u w:val="single"/>
        </w:rPr>
        <w:t xml:space="preserve">Proposal </w:t>
      </w:r>
      <w:r w:rsidR="00336EF5">
        <w:rPr>
          <w:b/>
          <w:bCs/>
          <w:i/>
          <w:u w:val="single"/>
        </w:rPr>
        <w:t>4</w:t>
      </w:r>
      <w:r w:rsidRPr="00586824">
        <w:rPr>
          <w:b/>
          <w:bCs/>
          <w:i/>
          <w:u w:val="single"/>
        </w:rPr>
        <w:t>:</w:t>
      </w:r>
      <w:r w:rsidRPr="00586824">
        <w:rPr>
          <w:b/>
          <w:bCs/>
          <w:i/>
        </w:rPr>
        <w:t xml:space="preserve"> </w:t>
      </w:r>
      <w:r>
        <w:rPr>
          <w:i/>
        </w:rPr>
        <w:t>UE reports the differential UE specific TA or differential full TA, where the differential UE specific TA</w:t>
      </w:r>
      <w:r w:rsidR="004E3DFC">
        <w:rPr>
          <w:i/>
        </w:rPr>
        <w:t>/</w:t>
      </w:r>
      <w:r>
        <w:rPr>
          <w:i/>
        </w:rPr>
        <w:t>full TA is the difference between the current UE specific TA</w:t>
      </w:r>
      <w:r w:rsidR="004E3DFC">
        <w:rPr>
          <w:i/>
        </w:rPr>
        <w:t>/</w:t>
      </w:r>
      <w:r>
        <w:rPr>
          <w:i/>
        </w:rPr>
        <w:t>full TA and the last reported UE specific TA</w:t>
      </w:r>
      <w:r w:rsidR="004E3DFC">
        <w:rPr>
          <w:i/>
        </w:rPr>
        <w:t>/</w:t>
      </w:r>
      <w:r>
        <w:rPr>
          <w:i/>
        </w:rPr>
        <w:t>full TA.</w:t>
      </w:r>
    </w:p>
    <w:p w14:paraId="028DEFC9" w14:textId="22594481" w:rsidR="00152298" w:rsidRDefault="00152298" w:rsidP="00844187">
      <w:pPr>
        <w:jc w:val="both"/>
      </w:pPr>
    </w:p>
    <w:p w14:paraId="291AB07C" w14:textId="64A38259" w:rsidR="00BA33F4" w:rsidRDefault="0088763F" w:rsidP="00152298">
      <w:pPr>
        <w:jc w:val="both"/>
      </w:pPr>
      <w:r>
        <w:t>Regarding UE reporting frequency, we think at least the event triggered approach should be supported. Basically, a UE reports to gNB only if it detects the necessity of updating UE specific</w:t>
      </w:r>
      <w:r w:rsidR="00152298">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When there is a large update on UE specific TA or full TA, which implies that the current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value is about to be invalid or inefficient, UE needs to report to gNB to facilitate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update. Specifically, if the difference between the current UE specific TA or full TA and the last reported UE specific TA or full TA is larger than a threshold, then UE reports its the differential UE specific TA or differential full TA</w:t>
      </w:r>
      <w:r w:rsidR="007A04F6">
        <w:t>,</w:t>
      </w:r>
      <w:r w:rsidR="00152298">
        <w:t xml:space="preserve"> in slot-level granularity.</w:t>
      </w:r>
      <w:r w:rsidR="0034015C">
        <w:t xml:space="preserve"> </w:t>
      </w:r>
    </w:p>
    <w:p w14:paraId="1E134A16" w14:textId="7F7FF30C" w:rsidR="0034015C" w:rsidRDefault="0034015C" w:rsidP="00152298">
      <w:pPr>
        <w:jc w:val="both"/>
      </w:pPr>
    </w:p>
    <w:p w14:paraId="22447202" w14:textId="3BC60BD5" w:rsidR="0034015C" w:rsidRDefault="007A04F6" w:rsidP="0088763F">
      <w:pPr>
        <w:jc w:val="both"/>
      </w:pPr>
      <w:r>
        <w:t xml:space="preserve">In event-triggered UE reporting, it is possible that the reporting is missing due to bad channel condition. Hence, it is beneficial to consider the reporting failure </w:t>
      </w:r>
      <w:r w:rsidR="00503C8A">
        <w:t>handling</w:t>
      </w:r>
      <w:r>
        <w:t xml:space="preserve">. For example, a UE may </w:t>
      </w:r>
      <w:r>
        <w:lastRenderedPageBreak/>
        <w:t xml:space="preserve">retransmit the reporting if it does not receive any response (e.g.,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from gNB after a certain duration since the last reporting.</w:t>
      </w:r>
    </w:p>
    <w:p w14:paraId="1394AFD6" w14:textId="77777777" w:rsidR="007A04F6" w:rsidRPr="007A04F6" w:rsidRDefault="007A04F6" w:rsidP="0088763F">
      <w:pPr>
        <w:jc w:val="both"/>
      </w:pPr>
    </w:p>
    <w:p w14:paraId="27CD7E45" w14:textId="3DACC2A5" w:rsidR="007A04F6" w:rsidRDefault="007A04F6" w:rsidP="007A04F6">
      <w:pPr>
        <w:jc w:val="both"/>
      </w:pPr>
      <w:r>
        <w:t xml:space="preserve">There is a proposal of periodic UE reporting. Consider a LEO satellite with speed of 7.56 km/s. It will take about 20 seconds to make 1 ms UE specific TA difference. If UE reports the differential UE specific TA with granularity of 1 slot, then the reporting periodicity is as large as 20 seconds for subcarrier spacing of 15 kHz. </w:t>
      </w:r>
      <w:r w:rsidR="00353A6F">
        <w:t>I</w:t>
      </w:r>
      <w:r>
        <w:t xml:space="preserve">t is not </w:t>
      </w:r>
      <w:r w:rsidR="00353A6F">
        <w:t>desirable</w:t>
      </w:r>
      <w:r>
        <w:t xml:space="preserve"> to support UE’s periodic reporting with such a large periodicity. </w:t>
      </w:r>
    </w:p>
    <w:p w14:paraId="504B3E59" w14:textId="4FC797BA" w:rsidR="00F04BC5" w:rsidRDefault="00F04BC5" w:rsidP="00916B3D">
      <w:pPr>
        <w:jc w:val="both"/>
        <w:rPr>
          <w:i/>
        </w:rPr>
      </w:pPr>
    </w:p>
    <w:p w14:paraId="2E293F47" w14:textId="1D812450" w:rsidR="007A04F6" w:rsidRDefault="007A04F6" w:rsidP="007A04F6">
      <w:pPr>
        <w:jc w:val="both"/>
        <w:rPr>
          <w:i/>
        </w:rPr>
      </w:pPr>
      <w:r w:rsidRPr="001C381A">
        <w:rPr>
          <w:b/>
          <w:i/>
          <w:u w:val="single"/>
        </w:rPr>
        <w:t xml:space="preserve">Proposal </w:t>
      </w:r>
      <w:r w:rsidR="00336EF5">
        <w:rPr>
          <w:b/>
          <w:i/>
          <w:u w:val="single"/>
        </w:rPr>
        <w:t>5</w:t>
      </w:r>
      <w:r w:rsidRPr="001C381A">
        <w:rPr>
          <w:b/>
          <w:i/>
          <w:u w:val="single"/>
        </w:rPr>
        <w:t>:</w:t>
      </w:r>
      <w:r w:rsidRPr="00BF2C61">
        <w:rPr>
          <w:i/>
        </w:rPr>
        <w:t xml:space="preserve"> </w:t>
      </w:r>
      <w:r>
        <w:rPr>
          <w:i/>
        </w:rPr>
        <w:t>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7F6D5B29" w14:textId="3BB605D1" w:rsidR="007A04F6" w:rsidRPr="007A04F6" w:rsidRDefault="007A04F6" w:rsidP="007A04F6">
      <w:pPr>
        <w:pStyle w:val="ListParagraph"/>
        <w:numPr>
          <w:ilvl w:val="0"/>
          <w:numId w:val="4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FFS</w:t>
      </w:r>
      <w:r w:rsidRPr="007A04F6">
        <w:rPr>
          <w:rFonts w:ascii="Times New Roman" w:eastAsia="Malgun Gothic" w:hAnsi="Times New Roman"/>
          <w:i/>
          <w:sz w:val="24"/>
          <w:szCs w:val="24"/>
          <w:lang w:eastAsia="zh-CN"/>
        </w:rPr>
        <w:t xml:space="preserve"> reporting failure </w:t>
      </w:r>
      <w:r w:rsidR="00353A6F">
        <w:rPr>
          <w:rFonts w:ascii="Times New Roman" w:eastAsia="Malgun Gothic" w:hAnsi="Times New Roman"/>
          <w:i/>
          <w:sz w:val="24"/>
          <w:szCs w:val="24"/>
          <w:lang w:eastAsia="zh-CN"/>
        </w:rPr>
        <w:t>handling</w:t>
      </w:r>
    </w:p>
    <w:p w14:paraId="3714A5CB" w14:textId="77777777" w:rsidR="007A04F6" w:rsidRDefault="007A04F6" w:rsidP="00916B3D">
      <w:pPr>
        <w:jc w:val="both"/>
        <w:rPr>
          <w:i/>
        </w:rPr>
      </w:pPr>
    </w:p>
    <w:p w14:paraId="4E0CCBA9" w14:textId="2BA1D269" w:rsidR="00521BE2" w:rsidRDefault="005B5115" w:rsidP="005B5115">
      <w:pPr>
        <w:pStyle w:val="Heading2"/>
      </w:pPr>
      <w:r>
        <w:t>MAC CE activation time</w:t>
      </w:r>
      <w:r w:rsidR="001F6188">
        <w:t xml:space="preserve"> K_mac</w:t>
      </w:r>
    </w:p>
    <w:p w14:paraId="5B927745" w14:textId="77777777" w:rsidR="00353D2F" w:rsidRDefault="00F40FE0" w:rsidP="004E3DFC">
      <w:pPr>
        <w:jc w:val="both"/>
      </w:pP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4E3DFC" w:rsidRPr="007D2348">
        <w:rPr>
          <w:iCs/>
        </w:rPr>
        <w:t xml:space="preserve"> is</w:t>
      </w:r>
      <w:r w:rsidR="004E3DFC">
        <w:rPr>
          <w:iCs/>
        </w:rPr>
        <w:t xml:space="preserve"> to cover the RTT between timing reference point and gNB</w:t>
      </w:r>
      <w:r w:rsidR="00DD1425">
        <w:rPr>
          <w:iCs/>
        </w:rPr>
        <w:t xml:space="preserve">. Depending on the location of timing reference point, the value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DD1425">
        <w:t xml:space="preserve"> could be as large as the feeder link RTT. </w:t>
      </w:r>
    </w:p>
    <w:p w14:paraId="376234C0" w14:textId="0E5E39FD" w:rsidR="00353D2F" w:rsidRDefault="00353D2F" w:rsidP="004E3DFC">
      <w:pPr>
        <w:jc w:val="both"/>
      </w:pPr>
    </w:p>
    <w:p w14:paraId="5E13E4FD" w14:textId="57CCB289" w:rsidR="00353D2F" w:rsidRDefault="00353D2F" w:rsidP="00353D2F">
      <w:pPr>
        <w:jc w:val="both"/>
      </w:pPr>
      <w:r>
        <w:t xml:space="preserve">In defining 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it was agreed </w:t>
      </w:r>
      <w:r>
        <w:fldChar w:fldCharType="begin"/>
      </w:r>
      <w:r>
        <w:instrText xml:space="preserve"> REF _Ref83193069 \r \h </w:instrText>
      </w:r>
      <w:r>
        <w:fldChar w:fldCharType="separate"/>
      </w:r>
      <w:r w:rsidR="00627E67">
        <w:t>[3]</w:t>
      </w:r>
      <w:r>
        <w:fldChar w:fldCharType="end"/>
      </w:r>
      <w:r>
        <w:t xml:space="preserve"> to down select from two options. In Option 1, a single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is used for all scenarios. In Option 2, different value ranges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are used for different scenarios. </w:t>
      </w:r>
    </w:p>
    <w:p w14:paraId="3C44A756" w14:textId="77777777" w:rsidR="00353D2F" w:rsidRDefault="00353D2F" w:rsidP="00353D2F">
      <w:pPr>
        <w:jc w:val="both"/>
      </w:pPr>
    </w:p>
    <w:p w14:paraId="30D45786" w14:textId="3A5E697F" w:rsidR="00353D2F" w:rsidRDefault="00353D2F" w:rsidP="00353D2F">
      <w:pPr>
        <w:jc w:val="both"/>
      </w:pPr>
      <w:r>
        <w:t xml:space="preserve">Specifically,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in Option 1 is 1 - 271 ms, while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in Option 2 is 1 - 25 ms for LEO, 1 - 198 ms for MEO and 1 – 271 ms for GEO. Subsequently, the number of bits for cell specific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is 9 bits in Option 1 and 5/8/9 bits for LEO/MEO/GEO in Option 2. Here, it is assumed that UE can know satellite scenario based on the serving satellite ephemeris and hence no additional signaling is needed for indicating satellite scenario. </w:t>
      </w:r>
    </w:p>
    <w:p w14:paraId="5D2E7BE1" w14:textId="77777777" w:rsidR="00353D2F" w:rsidRDefault="00353D2F" w:rsidP="00353D2F">
      <w:pPr>
        <w:jc w:val="both"/>
      </w:pPr>
    </w:p>
    <w:p w14:paraId="5B535C86" w14:textId="6E1B4199" w:rsidR="00353D2F" w:rsidRDefault="00353D2F" w:rsidP="00353D2F">
      <w:pPr>
        <w:jc w:val="both"/>
      </w:pPr>
      <w:r>
        <w:t xml:space="preserve">The main advantage of Option 1 is it is simple, straightforward and less specification efforts. The main advantage of Option 2 is the signaling overhead saving. Among these options, we slightly prefer Option </w:t>
      </w:r>
      <w:r w:rsidR="00336EF5">
        <w:t>1</w:t>
      </w:r>
      <w:r>
        <w:t xml:space="preserve">. </w:t>
      </w:r>
    </w:p>
    <w:p w14:paraId="63B2D14A" w14:textId="77777777" w:rsidR="00353D2F" w:rsidRDefault="00353D2F" w:rsidP="004E3DFC">
      <w:pPr>
        <w:jc w:val="both"/>
      </w:pPr>
    </w:p>
    <w:p w14:paraId="623A3638" w14:textId="7DA5579C" w:rsidR="007D109D" w:rsidRDefault="00DD1425" w:rsidP="00AB349D">
      <w:pPr>
        <w:jc w:val="both"/>
        <w:rPr>
          <w:i/>
        </w:rPr>
      </w:pPr>
      <w:r w:rsidRPr="00336EF5">
        <w:rPr>
          <w:b/>
          <w:i/>
          <w:u w:val="single"/>
        </w:rPr>
        <w:t xml:space="preserve">Proposal </w:t>
      </w:r>
      <w:r w:rsidR="00336EF5">
        <w:rPr>
          <w:b/>
          <w:i/>
          <w:u w:val="single"/>
        </w:rPr>
        <w:t>6</w:t>
      </w:r>
      <w:r w:rsidRPr="00336EF5">
        <w:rPr>
          <w:b/>
          <w:i/>
          <w:u w:val="single"/>
        </w:rPr>
        <w:t>:</w:t>
      </w:r>
      <w:r w:rsidRPr="00336EF5">
        <w:rPr>
          <w:i/>
        </w:rPr>
        <w:t xml:space="preserve"> </w:t>
      </w:r>
      <w:r w:rsidR="00336EF5" w:rsidRPr="00505F29">
        <w:rPr>
          <w:i/>
        </w:rPr>
        <w:t xml:space="preserve">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336EF5" w:rsidRPr="00505F29">
        <w:rPr>
          <w:i/>
        </w:rPr>
        <w:t xml:space="preserve"> is </w:t>
      </w:r>
      <w:r w:rsidR="00336EF5">
        <w:rPr>
          <w:i/>
        </w:rPr>
        <w:t>1-271 ms for all scenarios.</w:t>
      </w:r>
    </w:p>
    <w:p w14:paraId="063C2BFD" w14:textId="77777777" w:rsidR="00336EF5" w:rsidRDefault="00336EF5" w:rsidP="00AB349D">
      <w:pPr>
        <w:jc w:val="both"/>
      </w:pPr>
    </w:p>
    <w:p w14:paraId="2A0D6E8E" w14:textId="20E48BF7" w:rsidR="00410B14" w:rsidRDefault="00410B14" w:rsidP="00410B14">
      <w:pPr>
        <w:pStyle w:val="Heading2"/>
      </w:pPr>
      <w:r>
        <w:t>K1 range extension</w:t>
      </w:r>
    </w:p>
    <w:p w14:paraId="52F430BE" w14:textId="4BD1430B" w:rsidR="001C27F5" w:rsidRDefault="00410B14" w:rsidP="00410B14">
      <w:pPr>
        <w:jc w:val="both"/>
      </w:pPr>
      <w:r>
        <w:t xml:space="preserve">It was agreed </w:t>
      </w:r>
      <w:r w:rsidR="00703B19">
        <w:fldChar w:fldCharType="begin"/>
      </w:r>
      <w:r w:rsidR="00703B19">
        <w:instrText xml:space="preserve"> REF _Ref86403154 \r \h </w:instrText>
      </w:r>
      <w:r w:rsidR="00703B19">
        <w:fldChar w:fldCharType="separate"/>
      </w:r>
      <w:r w:rsidR="00627E67">
        <w:t>[5]</w:t>
      </w:r>
      <w:r w:rsidR="00703B19">
        <w:fldChar w:fldCharType="end"/>
      </w:r>
      <w:r>
        <w:t xml:space="preserve"> that the value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extended to 31. It is open whether this value range extension has impact on the size of </w:t>
      </w:r>
      <w:r w:rsidRPr="00A61EE0">
        <w:rPr>
          <w:i/>
          <w:iCs/>
        </w:rPr>
        <w:t>PDSCH-to-HARQ_feedback timing indicator</w:t>
      </w:r>
      <w:r>
        <w:t xml:space="preserve"> field in DCI. </w:t>
      </w:r>
    </w:p>
    <w:p w14:paraId="57498A24" w14:textId="77777777" w:rsidR="001C27F5" w:rsidRDefault="001C27F5" w:rsidP="00410B14">
      <w:pPr>
        <w:jc w:val="both"/>
      </w:pPr>
    </w:p>
    <w:p w14:paraId="1224CEEE" w14:textId="5446E236" w:rsidR="00410B14" w:rsidRDefault="00410B14" w:rsidP="00410B14">
      <w:pPr>
        <w:jc w:val="both"/>
      </w:pPr>
      <w:r>
        <w:t>In our view, this field size should remain unchanged in DCI. In DCI format</w:t>
      </w:r>
      <w:r w:rsidR="00A61EE0">
        <w:t>s</w:t>
      </w:r>
      <w:r>
        <w:t xml:space="preserve"> 1_1 or 1_2, this field size is upper bounded by 3 bits, </w:t>
      </w:r>
      <w:r w:rsidR="00A61EE0">
        <w:t xml:space="preserve">where the actual field size </w:t>
      </w:r>
      <w:r>
        <w:t>depend</w:t>
      </w:r>
      <w:r w:rsidR="00A61EE0">
        <w:t>s</w:t>
      </w:r>
      <w:r>
        <w:t xml:space="preserve"> on the number of entries in a high layer configured table. The similar upper bound could be used for extended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values. Only the value range of the entries in the configured table </w:t>
      </w:r>
      <w:r w:rsidR="001C27F5">
        <w:t xml:space="preserve">(i.e., </w:t>
      </w:r>
      <w:r w:rsidR="001C27F5" w:rsidRPr="001C27F5">
        <w:rPr>
          <w:i/>
          <w:iCs/>
        </w:rPr>
        <w:t>dl-DataToUL-ACK</w:t>
      </w:r>
      <w:r w:rsidR="001C27F5">
        <w:t xml:space="preserve">) </w:t>
      </w:r>
      <w:r>
        <w:t>needs to be updated.</w:t>
      </w:r>
    </w:p>
    <w:p w14:paraId="13AE7AFE" w14:textId="27B11B98" w:rsidR="00A61EE0" w:rsidRDefault="00A61EE0" w:rsidP="00410B14">
      <w:pPr>
        <w:jc w:val="both"/>
      </w:pPr>
    </w:p>
    <w:p w14:paraId="78227008" w14:textId="1D0368C1" w:rsidR="001C27F5" w:rsidRDefault="00A61EE0" w:rsidP="00410B14">
      <w:pPr>
        <w:jc w:val="both"/>
      </w:pPr>
      <w:r>
        <w:t>In DCI format 1_0, the</w:t>
      </w:r>
      <w:r w:rsidR="001C27F5">
        <w:t xml:space="preserve"> </w:t>
      </w:r>
      <w:r w:rsidR="001C27F5" w:rsidRPr="00A61EE0">
        <w:rPr>
          <w:i/>
          <w:iCs/>
        </w:rPr>
        <w:t>PDSCH-to-HARQ_feedback timing indicator</w:t>
      </w:r>
      <w:r>
        <w:t xml:space="preserve"> field size is fixed to 3 bits to indicate 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 xml:space="preserve">from 1 to 8 slots. </w:t>
      </w:r>
      <w:r w:rsidR="005408EF">
        <w:t>I</w:t>
      </w:r>
      <w:r>
        <w:t>t is</w:t>
      </w:r>
      <w:r w:rsidR="0074625E">
        <w:t xml:space="preserve"> beneficial to extend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range</w:t>
      </w:r>
      <w:r w:rsidR="0074625E">
        <w:t xml:space="preserve"> </w:t>
      </w:r>
      <w:r>
        <w:t xml:space="preserve">indicated by DCI format 1_0 </w:t>
      </w:r>
      <w:r w:rsidR="0074625E">
        <w:t>to</w:t>
      </w:r>
      <w:r>
        <w:t xml:space="preserve"> beyond 8 slots. </w:t>
      </w:r>
      <w:r w:rsidR="0074625E">
        <w:t xml:space="preserve">One way is to increase the </w:t>
      </w:r>
      <w:r w:rsidR="0074625E" w:rsidRPr="00A61EE0">
        <w:rPr>
          <w:i/>
          <w:iCs/>
        </w:rPr>
        <w:t>PDSCH-to-HARQ_feedback timing indicator</w:t>
      </w:r>
      <w:r w:rsidR="0074625E">
        <w:t xml:space="preserve"> field size in DCI format 1_0. However, this increases DCI format 1_0 payload size and is not preferred. Another way is to introduce a scaling factor </w:t>
      </w:r>
      <w:r w:rsidR="00503C8A">
        <w:t>(</w:t>
      </w:r>
      <m:oMath>
        <m:r>
          <w:rPr>
            <w:rFonts w:ascii="Cambria Math" w:hAnsi="Cambria Math"/>
          </w:rPr>
          <m:t>S</m:t>
        </m:r>
      </m:oMath>
      <w:r w:rsidR="00503C8A">
        <w:t xml:space="preserve">) </w:t>
      </w:r>
      <w:r w:rsidR="001C27F5">
        <w:t>when determining</w:t>
      </w:r>
      <w:r w:rsidR="0074625E">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w:t>
      </w:r>
      <w:r w:rsidR="001C27F5">
        <w:t>for</w:t>
      </w:r>
      <w:r w:rsidR="0074625E">
        <w:t xml:space="preserve"> DCI </w:t>
      </w:r>
      <w:r w:rsidR="0074625E">
        <w:lastRenderedPageBreak/>
        <w:t>format 1_0.</w:t>
      </w:r>
      <w:r w:rsidR="005408EF">
        <w:t xml:space="preserve"> For example,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indicated in DCI format 1_0</w:t>
      </w:r>
      <w:r w:rsidR="001C27F5">
        <w:t xml:space="preserve"> is given by </w:t>
      </w:r>
      <m:oMath>
        <m:r>
          <w:rPr>
            <w:rFonts w:ascii="Cambria Math" w:hAnsi="Cambria Math"/>
          </w:rPr>
          <m:t>S⋅A</m:t>
        </m:r>
      </m:oMath>
      <w:r w:rsidR="001C27F5">
        <w:t xml:space="preserve"> for unpaired spectrum, where </w:t>
      </w:r>
      <m:oMath>
        <m:r>
          <w:rPr>
            <w:rFonts w:ascii="Cambria Math" w:hAnsi="Cambria Math"/>
          </w:rPr>
          <m:t>A</m:t>
        </m:r>
      </m:oMath>
      <w:r w:rsidR="001C27F5">
        <w:t xml:space="preserve"> is </w:t>
      </w:r>
      <w:r w:rsidR="00503C8A">
        <w:t xml:space="preserve">the </w:t>
      </w:r>
      <w:r w:rsidR="001C27F5">
        <w:t xml:space="preserve">value directly interpreted from the </w:t>
      </w:r>
      <w:r w:rsidR="001C27F5" w:rsidRPr="00A61EE0">
        <w:rPr>
          <w:i/>
          <w:iCs/>
        </w:rPr>
        <w:t>PDSCH-to-HARQ_feedback timing indicator</w:t>
      </w:r>
      <w:r w:rsidR="001C27F5">
        <w:t xml:space="preserve"> field, and </w:t>
      </w:r>
      <m:oMath>
        <m:r>
          <w:rPr>
            <w:rFonts w:ascii="Cambria Math" w:hAnsi="Cambria Math"/>
          </w:rPr>
          <m:t>S</m:t>
        </m:r>
      </m:oMath>
      <w:r w:rsidR="001C27F5">
        <w:t xml:space="preserve"> is the</w:t>
      </w:r>
      <w:r w:rsidR="00503C8A">
        <w:t xml:space="preserve"> configured</w:t>
      </w:r>
      <w:r w:rsidR="001C27F5">
        <w:t xml:space="preserve"> scaling factor. </w:t>
      </w:r>
    </w:p>
    <w:p w14:paraId="31280CEE" w14:textId="77777777" w:rsidR="00410B14" w:rsidRDefault="00410B14" w:rsidP="00410B14"/>
    <w:p w14:paraId="13F8C5D0" w14:textId="38BC8FAD" w:rsidR="005408EF" w:rsidRDefault="00410B14" w:rsidP="00A61EE0">
      <w:pPr>
        <w:jc w:val="both"/>
        <w:rPr>
          <w:i/>
        </w:rPr>
      </w:pPr>
      <w:r w:rsidRPr="001C381A">
        <w:rPr>
          <w:b/>
          <w:i/>
          <w:u w:val="single"/>
        </w:rPr>
        <w:t xml:space="preserve">Proposal </w:t>
      </w:r>
      <w:r w:rsidR="00336EF5">
        <w:rPr>
          <w:b/>
          <w:i/>
          <w:u w:val="single"/>
        </w:rPr>
        <w:t>7</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rPr>
          <w:i/>
        </w:rPr>
        <w:t xml:space="preserve"> </w:t>
      </w:r>
      <w:r>
        <w:rPr>
          <w:i/>
        </w:rPr>
        <w:t>range extension</w:t>
      </w:r>
      <w:r w:rsidR="00FD592E">
        <w:rPr>
          <w:i/>
        </w:rPr>
        <w:t xml:space="preserve"> in unpaired spectrum</w:t>
      </w:r>
      <w:r>
        <w:rPr>
          <w:i/>
        </w:rPr>
        <w:t xml:space="preserve"> does not change the </w:t>
      </w:r>
      <w:r w:rsidR="00A61EE0" w:rsidRPr="00A61EE0">
        <w:rPr>
          <w:i/>
          <w:iCs/>
        </w:rPr>
        <w:t xml:space="preserve">PDSCH-to-HARQ_feedback timing indicator </w:t>
      </w:r>
      <w:r>
        <w:rPr>
          <w:i/>
        </w:rPr>
        <w:t xml:space="preserve">field size in DCI. </w:t>
      </w:r>
    </w:p>
    <w:p w14:paraId="592377E7" w14:textId="4A4F60FE" w:rsidR="001C27F5" w:rsidRPr="001C27F5" w:rsidRDefault="005408EF" w:rsidP="001C27F5">
      <w:pPr>
        <w:pStyle w:val="ListParagraph"/>
        <w:numPr>
          <w:ilvl w:val="0"/>
          <w:numId w:val="45"/>
        </w:numPr>
        <w:jc w:val="both"/>
        <w:rPr>
          <w:i/>
        </w:rPr>
      </w:pPr>
      <w:r w:rsidRPr="001C27F5">
        <w:rPr>
          <w:rFonts w:ascii="Times New Roman" w:eastAsia="Malgun Gothic" w:hAnsi="Times New Roman"/>
          <w:i/>
          <w:sz w:val="24"/>
          <w:szCs w:val="24"/>
          <w:lang w:eastAsia="zh-CN"/>
        </w:rPr>
        <w:t>For</w:t>
      </w:r>
      <w:r w:rsidR="00FD592E">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w:t>
      </w:r>
      <w:r w:rsidR="001C27F5" w:rsidRPr="001C27F5">
        <w:rPr>
          <w:rFonts w:ascii="Times New Roman" w:eastAsia="Malgun Gothic" w:hAnsi="Times New Roman"/>
          <w:i/>
          <w:sz w:val="24"/>
          <w:szCs w:val="24"/>
          <w:lang w:eastAsia="zh-CN"/>
        </w:rPr>
        <w:t xml:space="preserve">entries in the configured </w:t>
      </w:r>
      <w:r w:rsidR="001C27F5">
        <w:rPr>
          <w:rFonts w:ascii="Times New Roman" w:eastAsia="Malgun Gothic" w:hAnsi="Times New Roman"/>
          <w:i/>
          <w:sz w:val="24"/>
          <w:szCs w:val="24"/>
          <w:lang w:eastAsia="zh-CN"/>
        </w:rPr>
        <w:t xml:space="preserve">dl-DataToUL-ACK </w:t>
      </w:r>
      <w:r w:rsidR="001C27F5" w:rsidRPr="001C27F5">
        <w:rPr>
          <w:rFonts w:ascii="Times New Roman" w:eastAsia="Malgun Gothic" w:hAnsi="Times New Roman"/>
          <w:i/>
          <w:sz w:val="24"/>
          <w:szCs w:val="24"/>
          <w:lang w:eastAsia="zh-CN"/>
        </w:rPr>
        <w:t>table</w:t>
      </w:r>
      <w:r w:rsidR="00FD592E">
        <w:rPr>
          <w:rFonts w:ascii="Times New Roman" w:eastAsia="Malgun Gothic" w:hAnsi="Times New Roman"/>
          <w:i/>
          <w:sz w:val="24"/>
          <w:szCs w:val="24"/>
          <w:lang w:eastAsia="zh-CN"/>
        </w:rPr>
        <w:t>.</w:t>
      </w:r>
    </w:p>
    <w:p w14:paraId="7D223E64" w14:textId="3F72874C" w:rsidR="00AB349D" w:rsidRPr="00FD592E" w:rsidRDefault="0074625E" w:rsidP="00382F61">
      <w:pPr>
        <w:pStyle w:val="ListParagraph"/>
        <w:numPr>
          <w:ilvl w:val="0"/>
          <w:numId w:val="45"/>
        </w:numPr>
        <w:jc w:val="both"/>
      </w:pPr>
      <w:r w:rsidRPr="00FD592E">
        <w:rPr>
          <w:rFonts w:ascii="Times New Roman" w:eastAsia="Malgun Gothic" w:hAnsi="Times New Roman"/>
          <w:i/>
          <w:sz w:val="24"/>
          <w:szCs w:val="24"/>
          <w:lang w:eastAsia="zh-CN"/>
        </w:rPr>
        <w:t xml:space="preserve">For </w:t>
      </w:r>
      <w:r w:rsidR="00FD592E">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DCI, consider introduc</w:t>
      </w:r>
      <w:r w:rsidR="005408EF" w:rsidRPr="00FD592E">
        <w:rPr>
          <w:rFonts w:ascii="Times New Roman" w:eastAsia="Malgun Gothic" w:hAnsi="Times New Roman"/>
          <w:i/>
          <w:sz w:val="24"/>
          <w:szCs w:val="24"/>
          <w:lang w:eastAsia="zh-CN"/>
        </w:rPr>
        <w:t>ing</w:t>
      </w:r>
      <w:r w:rsidRPr="00FD592E">
        <w:rPr>
          <w:rFonts w:ascii="Times New Roman" w:eastAsia="Malgun Gothic" w:hAnsi="Times New Roman"/>
          <w:i/>
          <w:sz w:val="24"/>
          <w:szCs w:val="24"/>
          <w:lang w:eastAsia="zh-CN"/>
        </w:rPr>
        <w:t xml:space="preserve"> a scaling factor </w:t>
      </w:r>
      <w:r w:rsidR="005408EF" w:rsidRPr="00FD592E">
        <w:rPr>
          <w:rFonts w:ascii="Times New Roman" w:eastAsia="Malgun Gothic" w:hAnsi="Times New Roman"/>
          <w:i/>
          <w:sz w:val="24"/>
          <w:szCs w:val="24"/>
          <w:lang w:eastAsia="zh-CN"/>
        </w:rPr>
        <w:t xml:space="preserve">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001C27F5" w:rsidRPr="00FD592E">
        <w:rPr>
          <w:rFonts w:ascii="Times New Roman" w:eastAsia="Malgun Gothic" w:hAnsi="Times New Roman"/>
          <w:i/>
          <w:sz w:val="24"/>
          <w:szCs w:val="24"/>
          <w:lang w:eastAsia="zh-CN"/>
        </w:rPr>
        <w:t xml:space="preserve"> value</w:t>
      </w:r>
      <w:r w:rsidR="00FD592E">
        <w:rPr>
          <w:rFonts w:ascii="Times New Roman" w:eastAsia="Malgun Gothic" w:hAnsi="Times New Roman"/>
          <w:i/>
          <w:sz w:val="24"/>
          <w:szCs w:val="24"/>
          <w:lang w:eastAsia="zh-CN"/>
        </w:rPr>
        <w:t>.</w:t>
      </w:r>
    </w:p>
    <w:p w14:paraId="2190BEBF" w14:textId="77777777" w:rsidR="00FD592E" w:rsidRDefault="00FD592E" w:rsidP="00FD592E">
      <w:pPr>
        <w:pStyle w:val="ListParagraph"/>
        <w:jc w:val="both"/>
      </w:pPr>
    </w:p>
    <w:p w14:paraId="1DC25838" w14:textId="1E9535AA" w:rsidR="000C77E3" w:rsidRDefault="000C77E3" w:rsidP="000C77E3">
      <w:pPr>
        <w:pStyle w:val="Heading2"/>
      </w:pPr>
      <w:r>
        <w:t>Timing relationship enhancement for beam failure recovery</w:t>
      </w:r>
    </w:p>
    <w:p w14:paraId="5D38896E" w14:textId="330FE80B" w:rsidR="008237A9" w:rsidRDefault="008237A9" w:rsidP="008237A9">
      <w:pPr>
        <w:jc w:val="both"/>
      </w:pPr>
      <w:r>
        <w:t>The timing relationship enhancement for beam failure recovery</w:t>
      </w:r>
      <w:r w:rsidR="00086B3F">
        <w:t xml:space="preserve"> (BFR)</w:t>
      </w:r>
      <w:r>
        <w:t xml:space="preserve"> was discussed in RAN1 #106-e meetin</w:t>
      </w:r>
      <w:r w:rsidR="00336EF5">
        <w:t>g</w:t>
      </w:r>
      <w:r>
        <w:t>. One discussion point is whether</w:t>
      </w:r>
      <w:r w:rsidR="00086B3F">
        <w:t xml:space="preserve"> BFR</w:t>
      </w:r>
      <w:r>
        <w:t xml:space="preserve"> mechanism is used in NTN scenario. </w:t>
      </w:r>
    </w:p>
    <w:p w14:paraId="4B4B7965" w14:textId="297CEF6F" w:rsidR="008237A9" w:rsidRDefault="008237A9" w:rsidP="008237A9">
      <w:pPr>
        <w:jc w:val="both"/>
      </w:pPr>
    </w:p>
    <w:p w14:paraId="5FF824A0" w14:textId="105D4CFD" w:rsidR="00F82CC2" w:rsidRDefault="00086B3F" w:rsidP="008237A9">
      <w:pPr>
        <w:jc w:val="both"/>
      </w:pPr>
      <w:r>
        <w:t>In NR terrestrial network, BFR was introduced together with beam management in Release 15.</w:t>
      </w:r>
      <w:r w:rsidR="00F82CC2">
        <w:t xml:space="preserve"> Overall, BFR provides a complement</w:t>
      </w:r>
      <w:r w:rsidR="00D53B3B">
        <w:t>ary</w:t>
      </w:r>
      <w:r w:rsidR="00F82CC2">
        <w:t xml:space="preserve"> solution to beam management, where beam measurement, beam reporting and beam switching do not occur promptly for </w:t>
      </w:r>
      <w:r w:rsidR="00054777">
        <w:t xml:space="preserve">a </w:t>
      </w:r>
      <w:r w:rsidR="00F82CC2">
        <w:t xml:space="preserve">sudden </w:t>
      </w:r>
      <w:r w:rsidR="00054777">
        <w:t xml:space="preserve">serving </w:t>
      </w:r>
      <w:r w:rsidR="00F82CC2">
        <w:t xml:space="preserve">beam </w:t>
      </w:r>
      <w:r w:rsidR="00054777">
        <w:t xml:space="preserve">dropping. </w:t>
      </w:r>
      <w:r w:rsidR="00BB0BDC">
        <w:t xml:space="preserve">Without BFR, beam dropping may lead to RLF since UE cannot decode beam switching signaling correctly and gNB may not be able to decode the beam reporting correctly. </w:t>
      </w:r>
      <w:r w:rsidR="00F82CC2">
        <w:t xml:space="preserve">BFR is useful for UE still in </w:t>
      </w:r>
      <w:r w:rsidR="00054777">
        <w:t>the same cell</w:t>
      </w:r>
      <w:r w:rsidR="00F82CC2">
        <w:t xml:space="preserve"> coverage, but experiences low L1-RSRP of serving beam (e.g., due to blockage or UE rotation). The benefit of BFR over RLM/RLF is that it provides a fast and efficient way to recover from beam failure</w:t>
      </w:r>
      <w:r w:rsidR="00054777">
        <w:t xml:space="preserve"> by switching to a new beam.</w:t>
      </w:r>
    </w:p>
    <w:p w14:paraId="6809BE34" w14:textId="3E0C670C" w:rsidR="00054777" w:rsidRDefault="00054777" w:rsidP="008237A9">
      <w:pPr>
        <w:jc w:val="both"/>
      </w:pPr>
    </w:p>
    <w:p w14:paraId="445E3835" w14:textId="746B0711" w:rsidR="009347B0" w:rsidRDefault="009E5AAE" w:rsidP="009E5AAE">
      <w:pPr>
        <w:jc w:val="both"/>
      </w:pPr>
      <w:r>
        <w:t>In NR NTN, b</w:t>
      </w:r>
      <w:r w:rsidR="00054777" w:rsidRPr="009347B0">
        <w:t>oth one-beam per cell and multiple-beam per cell are supported as baseline.</w:t>
      </w:r>
      <w:r w:rsidR="009347B0">
        <w:t xml:space="preserve"> </w:t>
      </w:r>
      <w:r w:rsidR="00054777">
        <w:t>In NTN</w:t>
      </w:r>
      <w:r w:rsidR="009347B0">
        <w:t xml:space="preserve"> with multiple beams per cell deployment</w:t>
      </w:r>
      <w:r w:rsidR="00054777">
        <w:t>, each beam is associated with a specific geographical area.</w:t>
      </w:r>
      <w:r w:rsidR="009347B0">
        <w:t xml:space="preserve"> Since</w:t>
      </w:r>
      <w:r w:rsidR="00054777">
        <w:t xml:space="preserve"> each beam has a large beam footprint on the ground, it is likely to have a large overlapping area with the coverage of multiple beams.</w:t>
      </w:r>
      <w:r w:rsidR="009347B0">
        <w:t xml:space="preserve"> This implies that a large number of UEs may be located in this overlapping area.</w:t>
      </w:r>
      <w:r w:rsidR="00B06F65">
        <w:t xml:space="preserve"> </w:t>
      </w:r>
      <w:r w:rsidR="009347B0">
        <w:t>A UE in this overlapping area is l</w:t>
      </w:r>
      <w:r>
        <w:t xml:space="preserve">ikely to receive </w:t>
      </w:r>
      <w:r w:rsidR="009347B0">
        <w:t>multiple beams from different directions due to NLOS</w:t>
      </w:r>
      <w:r>
        <w:t xml:space="preserve"> path</w:t>
      </w:r>
      <w:r w:rsidR="00B06F65">
        <w:t>s</w:t>
      </w:r>
      <w:r w:rsidR="009347B0">
        <w:t>.</w:t>
      </w:r>
    </w:p>
    <w:p w14:paraId="51A83A3A" w14:textId="3DCE92A5" w:rsidR="009E5AAE" w:rsidRDefault="009E5AAE" w:rsidP="009E5AAE">
      <w:pPr>
        <w:jc w:val="both"/>
      </w:pPr>
    </w:p>
    <w:p w14:paraId="266A8E24" w14:textId="77777777" w:rsidR="00D7345F" w:rsidRDefault="009E5AAE" w:rsidP="009E5AAE">
      <w:pPr>
        <w:jc w:val="both"/>
      </w:pPr>
      <w:r>
        <w:t xml:space="preserve">As main triggers of BFR in terrestrial network, dynamic blockage (including self-blockage) and UE rotation could also occur in NTN scenario. This leads to serving beam is not available to UE, which implies beam failure. Relying on RLM/RLF to recover from this beam failure will take a long duration, especially considering the large propagation delay in NTN. </w:t>
      </w:r>
    </w:p>
    <w:p w14:paraId="6714CBA2" w14:textId="77777777" w:rsidR="00D7345F" w:rsidRDefault="00D7345F" w:rsidP="009E5AAE">
      <w:pPr>
        <w:jc w:val="both"/>
      </w:pPr>
    </w:p>
    <w:p w14:paraId="6BA01E0F" w14:textId="55B1D2A9" w:rsidR="009E5AAE" w:rsidRDefault="009E5AAE" w:rsidP="009E5AAE">
      <w:pPr>
        <w:jc w:val="both"/>
      </w:pPr>
      <w:r>
        <w:t xml:space="preserve">Hence, we think BFR </w:t>
      </w:r>
      <w:r w:rsidR="00FF7B8F">
        <w:t>may</w:t>
      </w:r>
      <w:r>
        <w:t xml:space="preserve"> be used in NTN, as a complementary solution of beam management in NTN. </w:t>
      </w:r>
    </w:p>
    <w:p w14:paraId="6DAB9C82" w14:textId="05B0CD0A" w:rsidR="009E5AAE" w:rsidRDefault="009E5AAE" w:rsidP="00D53B3B">
      <w:pPr>
        <w:jc w:val="both"/>
      </w:pPr>
    </w:p>
    <w:p w14:paraId="7BA80ED8" w14:textId="77777777" w:rsidR="00FF7B8F" w:rsidRDefault="00FF7B8F" w:rsidP="00D53B3B">
      <w:pPr>
        <w:jc w:val="both"/>
        <w:rPr>
          <w:i/>
          <w:iCs/>
        </w:rPr>
      </w:pPr>
      <w:r w:rsidRPr="008237A9">
        <w:rPr>
          <w:i/>
          <w:iCs/>
        </w:rPr>
        <w:t xml:space="preserve">Observation 1: Beam failure recovery mechanism </w:t>
      </w:r>
      <w:r>
        <w:rPr>
          <w:i/>
          <w:iCs/>
        </w:rPr>
        <w:t>may be used in</w:t>
      </w:r>
      <w:r w:rsidRPr="008237A9">
        <w:rPr>
          <w:i/>
          <w:iCs/>
        </w:rPr>
        <w:t xml:space="preserve"> NTN.</w:t>
      </w:r>
    </w:p>
    <w:p w14:paraId="6AB6A36A" w14:textId="77777777" w:rsidR="00FF7B8F" w:rsidRDefault="00FF7B8F" w:rsidP="008237A9">
      <w:pPr>
        <w:jc w:val="both"/>
      </w:pPr>
    </w:p>
    <w:p w14:paraId="38FA43B3" w14:textId="042932CF" w:rsidR="008237A9" w:rsidRDefault="009E5AAE" w:rsidP="008237A9">
      <w:pPr>
        <w:jc w:val="both"/>
      </w:pPr>
      <w:r>
        <w:t xml:space="preserve">In Release 17 MIMO discussions, single CORESET may be associated with two TCI states which allows UE to simultaneously monitor two receive beams. There is an argument that in NTN, UE can apply this feature to avoid BFR. This single CORESET associated with two TCI states is introduced for high-speed train in SFN manner. In our view, this new feature </w:t>
      </w:r>
      <w:r w:rsidR="00D7345F">
        <w:t>should</w:t>
      </w:r>
      <w:r>
        <w:t xml:space="preserve"> not exclude the use of BFR in NTN</w:t>
      </w:r>
      <w:r w:rsidR="00D7345F">
        <w:t xml:space="preserve"> due to the following reasons:</w:t>
      </w:r>
      <w:r w:rsidR="00BB0BDC">
        <w:t xml:space="preserve">   </w:t>
      </w:r>
    </w:p>
    <w:p w14:paraId="51F8BF3D" w14:textId="4D8309E4" w:rsidR="009E5AAE" w:rsidRPr="00466347" w:rsidRDefault="009E5AAE" w:rsidP="009E5AAE">
      <w:pPr>
        <w:pStyle w:val="ListParagraph"/>
        <w:numPr>
          <w:ilvl w:val="0"/>
          <w:numId w:val="47"/>
        </w:numPr>
        <w:jc w:val="both"/>
        <w:rPr>
          <w:rFonts w:ascii="Times New Roman" w:eastAsia="Malgun Gothic" w:hAnsi="Times New Roman"/>
          <w:sz w:val="24"/>
          <w:szCs w:val="24"/>
          <w:lang w:eastAsia="zh-CN"/>
        </w:rPr>
      </w:pPr>
      <w:r w:rsidRPr="00466347">
        <w:rPr>
          <w:rFonts w:ascii="Times New Roman" w:eastAsia="Malgun Gothic" w:hAnsi="Times New Roman"/>
          <w:sz w:val="24"/>
          <w:szCs w:val="24"/>
          <w:lang w:eastAsia="zh-CN"/>
        </w:rPr>
        <w:t>This feature only supports UE to simultaneously monitor up to 2 beams. I</w:t>
      </w:r>
      <w:r w:rsidR="00466347" w:rsidRPr="00466347">
        <w:rPr>
          <w:rFonts w:ascii="Times New Roman" w:eastAsia="Malgun Gothic" w:hAnsi="Times New Roman"/>
          <w:sz w:val="24"/>
          <w:szCs w:val="24"/>
          <w:lang w:eastAsia="zh-CN"/>
        </w:rPr>
        <w:t>t does not work if a UE is located in an area covered by more than 2 beams</w:t>
      </w:r>
      <w:r w:rsidR="00B06F65">
        <w:rPr>
          <w:rFonts w:ascii="Times New Roman" w:eastAsia="Malgun Gothic" w:hAnsi="Times New Roman"/>
          <w:sz w:val="24"/>
          <w:szCs w:val="24"/>
          <w:lang w:eastAsia="zh-CN"/>
        </w:rPr>
        <w:t xml:space="preserve">. </w:t>
      </w:r>
    </w:p>
    <w:p w14:paraId="6CA4A7C7" w14:textId="1C1D7E3D" w:rsidR="009E5AAE" w:rsidRDefault="00466347"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This feature may be an optional UE feature. In other words, not every UE can support this feature. </w:t>
      </w:r>
      <w:r w:rsidR="00B06F65">
        <w:rPr>
          <w:rFonts w:ascii="Times New Roman" w:eastAsia="Malgun Gothic" w:hAnsi="Times New Roman"/>
          <w:sz w:val="24"/>
          <w:szCs w:val="24"/>
          <w:lang w:eastAsia="zh-CN"/>
        </w:rPr>
        <w:t xml:space="preserve">For example, the UE feature 2-4/2-62 </w:t>
      </w:r>
      <w:r w:rsidR="00B06F65">
        <w:rPr>
          <w:rFonts w:ascii="Times New Roman" w:eastAsia="Malgun Gothic" w:hAnsi="Times New Roman"/>
          <w:sz w:val="24"/>
          <w:szCs w:val="24"/>
          <w:lang w:eastAsia="zh-CN"/>
        </w:rPr>
        <w:fldChar w:fldCharType="begin"/>
      </w:r>
      <w:r w:rsidR="00B06F65">
        <w:rPr>
          <w:rFonts w:ascii="Times New Roman" w:eastAsia="Malgun Gothic" w:hAnsi="Times New Roman"/>
          <w:sz w:val="24"/>
          <w:szCs w:val="24"/>
          <w:lang w:eastAsia="zh-CN"/>
        </w:rPr>
        <w:instrText xml:space="preserve"> REF _Ref83838817 \r \h </w:instrText>
      </w:r>
      <w:r w:rsidR="00B06F65">
        <w:rPr>
          <w:rFonts w:ascii="Times New Roman" w:eastAsia="Malgun Gothic" w:hAnsi="Times New Roman"/>
          <w:sz w:val="24"/>
          <w:szCs w:val="24"/>
          <w:lang w:eastAsia="zh-CN"/>
        </w:rPr>
      </w:r>
      <w:r w:rsidR="00B06F65">
        <w:rPr>
          <w:rFonts w:ascii="Times New Roman" w:eastAsia="Malgun Gothic" w:hAnsi="Times New Roman"/>
          <w:sz w:val="24"/>
          <w:szCs w:val="24"/>
          <w:lang w:eastAsia="zh-CN"/>
        </w:rPr>
        <w:fldChar w:fldCharType="separate"/>
      </w:r>
      <w:r w:rsidR="00627E67">
        <w:rPr>
          <w:rFonts w:ascii="Times New Roman" w:eastAsia="Malgun Gothic" w:hAnsi="Times New Roman"/>
          <w:sz w:val="24"/>
          <w:szCs w:val="24"/>
          <w:lang w:eastAsia="zh-CN"/>
        </w:rPr>
        <w:t>[6]</w:t>
      </w:r>
      <w:r w:rsidR="00B06F65">
        <w:rPr>
          <w:rFonts w:ascii="Times New Roman" w:eastAsia="Malgun Gothic" w:hAnsi="Times New Roman"/>
          <w:sz w:val="24"/>
          <w:szCs w:val="24"/>
          <w:lang w:eastAsia="zh-CN"/>
        </w:rPr>
        <w:fldChar w:fldCharType="end"/>
      </w:r>
      <w:r w:rsidR="00B06F65">
        <w:rPr>
          <w:rFonts w:ascii="Times New Roman" w:eastAsia="Malgun Gothic" w:hAnsi="Times New Roman"/>
          <w:sz w:val="24"/>
          <w:szCs w:val="24"/>
          <w:lang w:eastAsia="zh-CN"/>
        </w:rPr>
        <w:t xml:space="preserve"> indicates UE only mandatorily support 1 active TCI state. </w:t>
      </w:r>
    </w:p>
    <w:p w14:paraId="6F1FB26C" w14:textId="18EBF302" w:rsidR="00921C2C" w:rsidRDefault="00921C2C"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 xml:space="preserve">Applying this feature may not be resource efficient since two beams will be used for the transmissions. </w:t>
      </w:r>
    </w:p>
    <w:p w14:paraId="2ED644F5" w14:textId="3F0DFCFB" w:rsidR="00D7345F" w:rsidRDefault="00D7345F"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w:t>
      </w:r>
      <w:r w:rsidRPr="00D7345F">
        <w:rPr>
          <w:rFonts w:ascii="Times New Roman" w:eastAsia="Malgun Gothic" w:hAnsi="Times New Roman"/>
          <w:sz w:val="24"/>
          <w:szCs w:val="24"/>
          <w:lang w:eastAsia="zh-CN"/>
        </w:rPr>
        <w:t>t has already been agreed to support BFR for high-speed train in SFN manner</w:t>
      </w:r>
      <w:r>
        <w:rPr>
          <w:rFonts w:ascii="Times New Roman" w:eastAsia="Malgun Gothic" w:hAnsi="Times New Roman"/>
          <w:sz w:val="24"/>
          <w:szCs w:val="24"/>
          <w:lang w:eastAsia="zh-CN"/>
        </w:rPr>
        <w:t xml:space="preserve">, where this feature is introduced. </w:t>
      </w:r>
    </w:p>
    <w:p w14:paraId="07529A2E" w14:textId="0F437589" w:rsidR="0053126C" w:rsidRDefault="0053126C" w:rsidP="008237A9">
      <w:pPr>
        <w:jc w:val="both"/>
      </w:pPr>
    </w:p>
    <w:p w14:paraId="2A00C131" w14:textId="40AFFE73" w:rsidR="00921C2C" w:rsidRDefault="00B06F65" w:rsidP="008237A9">
      <w:pPr>
        <w:jc w:val="both"/>
      </w:pPr>
      <w:r>
        <w:t>There is an argument</w:t>
      </w:r>
      <w:r w:rsidR="00921C2C">
        <w:t xml:space="preserve"> that gNB changing transmit beam is transparent to UE, since UE’s receive beam is always the same (i.e., UE’s receive beam always pointing to satellite). However, this is not always true </w:t>
      </w:r>
      <w:r>
        <w:t xml:space="preserve">considering NLOS paths. Also, gNB’s transmit beam is not transparent to UE since UE has to track the time and frequency offset of the gNB’s transmit beam.   </w:t>
      </w:r>
    </w:p>
    <w:p w14:paraId="1BFA0808" w14:textId="607ADB92" w:rsidR="00921C2C" w:rsidRDefault="00921C2C" w:rsidP="008237A9">
      <w:pPr>
        <w:jc w:val="both"/>
      </w:pPr>
    </w:p>
    <w:p w14:paraId="411F43CE" w14:textId="6112E767" w:rsidR="003226C4" w:rsidRDefault="003226C4" w:rsidP="003C4574">
      <w:pPr>
        <w:jc w:val="both"/>
      </w:pPr>
      <w:r>
        <w:t xml:space="preserve">In NR terrestrial network, </w:t>
      </w:r>
      <w:r w:rsidR="00B06F65">
        <w:t>the BFR timer can be configured up to 200 ms</w:t>
      </w:r>
      <w:r>
        <w:t>. There is an argument that the timing relationship enhancement for NTN is not needed</w:t>
      </w:r>
      <w:r w:rsidR="00D7345F">
        <w:t xml:space="preserve"> since the BFR timer is long enough</w:t>
      </w:r>
      <w:r>
        <w:t xml:space="preserve">. </w:t>
      </w:r>
      <w:r w:rsidR="003C4574">
        <w:t>However, in our view, this 200 ms timer is from the detection of beam failure to the successful reception of BFR response. Actually, when a UE sends BFR request, it monitors the BFR response with a window (</w:t>
      </w:r>
      <w:r w:rsidR="00D7345F">
        <w:t xml:space="preserve">i.e., </w:t>
      </w:r>
      <w:r w:rsidR="003C4574" w:rsidRPr="003C4574">
        <w:rPr>
          <w:i/>
          <w:iCs/>
        </w:rPr>
        <w:t>ra_ResponseWindow</w:t>
      </w:r>
      <w:r w:rsidR="003C4574">
        <w:t xml:space="preserve">) of length of exceeding 10 ms. This 10 ms is much less than the propagation delay in NTN. Hence, to avoid UE continuously </w:t>
      </w:r>
      <w:r w:rsidR="00D7345F">
        <w:t xml:space="preserve">missing the BFR response and </w:t>
      </w:r>
      <w:r w:rsidR="003C4574">
        <w:t xml:space="preserve">retransmitting BFR request, the timing relationship of BFR needs to be enhanced. This is similar to the timing relationship enhancement of RAR window offset in NTN. </w:t>
      </w:r>
    </w:p>
    <w:p w14:paraId="7E8B3A91" w14:textId="77777777" w:rsidR="003C4574" w:rsidRDefault="003C4574" w:rsidP="003C4574">
      <w:pPr>
        <w:jc w:val="both"/>
      </w:pPr>
    </w:p>
    <w:p w14:paraId="0F11F080" w14:textId="2EAC5497" w:rsidR="00FF7B8F" w:rsidRDefault="00FF7B8F" w:rsidP="008237A9">
      <w:pPr>
        <w:jc w:val="both"/>
        <w:rPr>
          <w:i/>
          <w:iCs/>
        </w:rPr>
      </w:pPr>
      <w:r>
        <w:rPr>
          <w:i/>
          <w:iCs/>
        </w:rPr>
        <w:t>Observation 2: The timing relationship enhancement for beam failure recovery in NTN is needed.</w:t>
      </w:r>
    </w:p>
    <w:p w14:paraId="59F0F08C" w14:textId="77777777" w:rsidR="00FF7B8F" w:rsidRDefault="00FF7B8F" w:rsidP="008237A9">
      <w:pPr>
        <w:jc w:val="both"/>
      </w:pPr>
    </w:p>
    <w:p w14:paraId="4C7B9059" w14:textId="0445B2B6" w:rsidR="003226C4" w:rsidRDefault="003226C4" w:rsidP="00FF7B8F">
      <w:pPr>
        <w:jc w:val="both"/>
      </w:pPr>
      <w:r>
        <w:t xml:space="preserve">Since we are designing a framework to enhance the timing relationship for NTN, it is better to cover the timing relationship enhancement for BFR as part of the framework. Since the design target is not optimizing BFR operations in NTN, the specification impact is limited. </w:t>
      </w:r>
    </w:p>
    <w:p w14:paraId="00E592E3" w14:textId="0240CCBC" w:rsidR="00336EF5" w:rsidRDefault="00336EF5" w:rsidP="00FF7B8F">
      <w:pPr>
        <w:jc w:val="both"/>
      </w:pPr>
    </w:p>
    <w:p w14:paraId="0AFAF99B" w14:textId="0F98D4F0" w:rsidR="00336EF5" w:rsidRDefault="00336EF5" w:rsidP="00FF7B8F">
      <w:pPr>
        <w:jc w:val="both"/>
      </w:pPr>
      <w:r>
        <w:t xml:space="preserve">It was concluded </w:t>
      </w:r>
      <w:r>
        <w:fldChar w:fldCharType="begin"/>
      </w:r>
      <w:r>
        <w:instrText xml:space="preserve"> REF _Ref86403015 \r \h </w:instrText>
      </w:r>
      <w:r>
        <w:fldChar w:fldCharType="separate"/>
      </w:r>
      <w:r w:rsidR="00627E67">
        <w:t>[7]</w:t>
      </w:r>
      <w:r>
        <w:fldChar w:fldCharType="end"/>
      </w:r>
      <w:r>
        <w:t xml:space="preserve"> that the BFR for frequency reuse factor (FRF) &gt; 1 is not enhanced. This does not preclude the BFR timing relationship enhancement, which applied to both FRF&gt;1 and FRF=1. </w:t>
      </w:r>
    </w:p>
    <w:p w14:paraId="1EDEBA0A" w14:textId="77777777" w:rsidR="00FF7B8F" w:rsidRPr="00FF7B8F" w:rsidRDefault="00FF7B8F" w:rsidP="00FF7B8F">
      <w:pPr>
        <w:jc w:val="both"/>
      </w:pPr>
    </w:p>
    <w:p w14:paraId="0B365EBD" w14:textId="3E52BB0C" w:rsidR="003226C4" w:rsidRDefault="003226C4" w:rsidP="00FF7B8F">
      <w:pPr>
        <w:jc w:val="both"/>
        <w:rPr>
          <w:i/>
          <w:iCs/>
        </w:rPr>
      </w:pPr>
      <w:r>
        <w:rPr>
          <w:i/>
          <w:iCs/>
        </w:rPr>
        <w:t xml:space="preserve">Observation </w:t>
      </w:r>
      <w:r w:rsidR="00FF7B8F">
        <w:rPr>
          <w:i/>
          <w:iCs/>
        </w:rPr>
        <w:t>3</w:t>
      </w:r>
      <w:r>
        <w:rPr>
          <w:i/>
          <w:iCs/>
        </w:rPr>
        <w:t>: The timing relationship enhancement for beam failure recovery</w:t>
      </w:r>
      <w:r w:rsidR="00FF7B8F">
        <w:rPr>
          <w:i/>
          <w:iCs/>
        </w:rPr>
        <w:t xml:space="preserve"> in NTN</w:t>
      </w:r>
      <w:r>
        <w:rPr>
          <w:i/>
          <w:iCs/>
        </w:rPr>
        <w:t xml:space="preserve"> does not</w:t>
      </w:r>
      <w:r w:rsidR="00FF7B8F">
        <w:rPr>
          <w:i/>
          <w:iCs/>
        </w:rPr>
        <w:t xml:space="preserve"> have large specification impact. </w:t>
      </w:r>
      <w:r>
        <w:rPr>
          <w:i/>
          <w:iCs/>
        </w:rPr>
        <w:t xml:space="preserve"> </w:t>
      </w:r>
    </w:p>
    <w:p w14:paraId="06DE8445" w14:textId="77777777" w:rsidR="003C4574" w:rsidRDefault="003C4574" w:rsidP="00FF7B8F">
      <w:pPr>
        <w:jc w:val="both"/>
        <w:rPr>
          <w:i/>
          <w:iCs/>
        </w:rPr>
      </w:pPr>
    </w:p>
    <w:p w14:paraId="43BF2420" w14:textId="72A417AC" w:rsidR="000C77E3" w:rsidRDefault="00FF7B8F" w:rsidP="000C77E3">
      <w:pPr>
        <w:jc w:val="both"/>
      </w:pPr>
      <w:r>
        <w:t>I</w:t>
      </w:r>
      <w:r w:rsidR="000C77E3">
        <w:t xml:space="preserve">n NR </w:t>
      </w:r>
      <w:r>
        <w:t>BFR</w:t>
      </w:r>
      <w:r w:rsidR="000C77E3">
        <w:t xml:space="preserve"> procedure</w:t>
      </w:r>
      <w:r w:rsidR="00925BAD">
        <w:t xml:space="preserve"> </w:t>
      </w:r>
      <w:r w:rsidR="00925BAD">
        <w:fldChar w:fldCharType="begin"/>
      </w:r>
      <w:r w:rsidR="00925BAD">
        <w:instrText xml:space="preserve"> REF _Ref77924933 \r \h </w:instrText>
      </w:r>
      <w:r w:rsidR="00925BAD">
        <w:fldChar w:fldCharType="separate"/>
      </w:r>
      <w:r w:rsidR="00627E67">
        <w:t>[8]</w:t>
      </w:r>
      <w:r w:rsidR="00925BAD">
        <w:fldChar w:fldCharType="end"/>
      </w:r>
      <w:r w:rsidR="000C77E3">
        <w:t xml:space="preserve">, a UE sends </w:t>
      </w:r>
      <w:r>
        <w:t>BFR</w:t>
      </w:r>
      <w:r w:rsidR="000C77E3">
        <w:t xml:space="preserve"> request to gNB to indicate PCell of PSCell beam failure and provide new beam index. The </w:t>
      </w:r>
      <w:r>
        <w:t>BFR</w:t>
      </w:r>
      <w:r w:rsidR="000C77E3">
        <w:t xml:space="preserve"> request is sent via PRACH in slot </w:t>
      </w:r>
      <m:oMath>
        <m:r>
          <w:rPr>
            <w:rFonts w:ascii="Cambria Math" w:hAnsi="Cambria Math"/>
          </w:rPr>
          <m:t>n</m:t>
        </m:r>
      </m:oMath>
      <w:r w:rsidR="000C77E3">
        <w:t xml:space="preserve">. Then the UE monitors PDCCH in dedicated search space configured for receiving </w:t>
      </w:r>
      <w:r>
        <w:t>BFR</w:t>
      </w:r>
      <w:r w:rsidR="000C77E3">
        <w:t xml:space="preserve"> response from gNB, starting from slot </w:t>
      </w:r>
      <m:oMath>
        <m:r>
          <w:rPr>
            <w:rFonts w:ascii="Cambria Math" w:hAnsi="Cambria Math"/>
          </w:rPr>
          <m:t>n+4</m:t>
        </m:r>
      </m:oMath>
      <w:r w:rsidR="000C77E3">
        <w:t xml:space="preserve">. If the UE does not receive </w:t>
      </w:r>
      <w:r>
        <w:t>BFR</w:t>
      </w:r>
      <w:r w:rsidR="000C77E3">
        <w:t xml:space="preserve"> response within a configured time window</w:t>
      </w:r>
      <w:r w:rsidR="00D7345F">
        <w:t xml:space="preserve"> (i.e., </w:t>
      </w:r>
      <w:r w:rsidR="00D7345F" w:rsidRPr="00D7345F">
        <w:rPr>
          <w:i/>
          <w:iCs/>
        </w:rPr>
        <w:t>ra_ResponseWindow</w:t>
      </w:r>
      <w:r w:rsidR="00D7345F">
        <w:t>)</w:t>
      </w:r>
      <w:r w:rsidR="000C77E3">
        <w:t xml:space="preserve">, then it re-sends the </w:t>
      </w:r>
      <w:r>
        <w:t>BFR</w:t>
      </w:r>
      <w:r w:rsidR="000C77E3">
        <w:t xml:space="preserve"> request or fallbacks to contention based PRACH based beam failure recovery. </w:t>
      </w:r>
    </w:p>
    <w:p w14:paraId="1EBC156A" w14:textId="119F807A" w:rsidR="00606F0B" w:rsidRDefault="00606F0B" w:rsidP="000C77E3">
      <w:pPr>
        <w:jc w:val="both"/>
      </w:pPr>
    </w:p>
    <w:tbl>
      <w:tblPr>
        <w:tblStyle w:val="TableGrid"/>
        <w:tblW w:w="0" w:type="auto"/>
        <w:tblLook w:val="04A0" w:firstRow="1" w:lastRow="0" w:firstColumn="1" w:lastColumn="0" w:noHBand="0" w:noVBand="1"/>
      </w:tblPr>
      <w:tblGrid>
        <w:gridCol w:w="9629"/>
      </w:tblGrid>
      <w:tr w:rsidR="00606F0B" w14:paraId="72198255" w14:textId="77777777" w:rsidTr="00606F0B">
        <w:tc>
          <w:tcPr>
            <w:tcW w:w="9629" w:type="dxa"/>
          </w:tcPr>
          <w:p w14:paraId="77ED59A0" w14:textId="396DAFFE" w:rsidR="00854FB5" w:rsidRPr="00854FB5" w:rsidRDefault="00854FB5" w:rsidP="000C77E3">
            <w:pPr>
              <w:jc w:val="both"/>
              <w:rPr>
                <w:b/>
                <w:bCs/>
              </w:rPr>
            </w:pPr>
            <w:r w:rsidRPr="00854FB5">
              <w:rPr>
                <w:b/>
                <w:bCs/>
              </w:rPr>
              <w:t>TS 38.213 Section 6</w:t>
            </w:r>
          </w:p>
          <w:p w14:paraId="04AB4473" w14:textId="77777777" w:rsidR="00854FB5" w:rsidRDefault="00854FB5" w:rsidP="000C77E3">
            <w:pPr>
              <w:jc w:val="both"/>
            </w:pPr>
          </w:p>
          <w:p w14:paraId="5E36A9B6" w14:textId="1A779073" w:rsidR="00606F0B" w:rsidRDefault="00606F0B" w:rsidP="000C77E3">
            <w:pPr>
              <w:jc w:val="both"/>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EB738E">
              <w:rPr>
                <w:color w:val="0070C0"/>
              </w:rPr>
              <w:t>For PRACH transmission in slot</w:t>
            </w:r>
            <w:r w:rsidR="00EB738E">
              <w:rPr>
                <w:color w:val="0070C0"/>
              </w:rPr>
              <w:t xml:space="preserve"> </w:t>
            </w:r>
            <m:oMath>
              <m:r>
                <w:rPr>
                  <w:rFonts w:ascii="Cambria Math" w:hAnsi="Cambria Math"/>
                  <w:color w:val="0070C0"/>
                </w:rPr>
                <m:t>n</m:t>
              </m:r>
            </m:oMath>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231165B2" wp14:editId="6D77224C">
                  <wp:extent cx="249555" cy="249555"/>
                  <wp:effectExtent l="0" t="0" r="4445" b="4445"/>
                  <wp:docPr id="97" name="Pictur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provided by higher layers </w:t>
            </w:r>
            <w:r w:rsidRPr="00DA0660">
              <w:t xml:space="preserve">[11, TS 38.321], the UE monitors PDCCH in a search space </w:t>
            </w:r>
            <w:r>
              <w:t xml:space="preserve">set </w:t>
            </w:r>
            <w:r w:rsidRPr="00DA0660">
              <w:t xml:space="preserve">provided by </w:t>
            </w:r>
            <w:r w:rsidRPr="00DA0660">
              <w:rPr>
                <w:i/>
                <w:iCs/>
              </w:rPr>
              <w:t>recoverySearchSpaceId</w:t>
            </w:r>
            <w:r w:rsidRPr="00DA0660">
              <w:t xml:space="preserve"> for detection of a DCI format with CRC scrambled by C-RNTI</w:t>
            </w:r>
            <w:r>
              <w:t xml:space="preserve"> or MCS-C-RNTI</w:t>
            </w:r>
            <w:r w:rsidRPr="00DA0660">
              <w:t xml:space="preserve"> </w:t>
            </w:r>
            <w:r w:rsidRPr="00EB738E">
              <w:rPr>
                <w:color w:val="0070C0"/>
              </w:rPr>
              <w:t xml:space="preserve">starting from slot </w:t>
            </w:r>
            <m:oMath>
              <m:r>
                <w:rPr>
                  <w:rFonts w:ascii="Cambria Math" w:hAnsi="Cambria Math"/>
                  <w:color w:val="0070C0"/>
                </w:rPr>
                <m:t>n+4</m:t>
              </m:r>
            </m:oMath>
            <w:r w:rsidRPr="00DA0660">
              <w:rPr>
                <w:iCs/>
              </w:rPr>
              <w:t xml:space="preserve"> </w:t>
            </w:r>
            <w:r w:rsidRPr="00DA0660">
              <w:rPr>
                <w:noProof/>
              </w:rPr>
              <w:t xml:space="preserve">within a window </w:t>
            </w:r>
            <w:r w:rsidRPr="00DA0660">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42D74F9C" wp14:editId="5915DA7A">
                  <wp:extent cx="249555" cy="249555"/>
                  <wp:effectExtent l="0" t="0" r="4445" b="4445"/>
                  <wp:docPr id="99" name="Pictur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until the UE receives by higher layers an </w:t>
            </w:r>
            <w:r w:rsidRPr="00DA0660">
              <w:rPr>
                <w:iCs/>
              </w:rPr>
              <w:lastRenderedPageBreak/>
              <w:t xml:space="preserve">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tc>
      </w:tr>
    </w:tbl>
    <w:p w14:paraId="16D9B9EB" w14:textId="77777777" w:rsidR="000C77E3" w:rsidRDefault="000C77E3" w:rsidP="000C77E3">
      <w:pPr>
        <w:jc w:val="both"/>
      </w:pPr>
    </w:p>
    <w:p w14:paraId="51DECFC7" w14:textId="1F9F029D" w:rsidR="00606F0B" w:rsidRDefault="008237A9" w:rsidP="000C77E3">
      <w:pPr>
        <w:jc w:val="both"/>
      </w:pPr>
      <w:r>
        <w:t>In NTN, c</w:t>
      </w:r>
      <w:r w:rsidR="00781C4A">
        <w:t>onsider</w:t>
      </w:r>
      <w:r>
        <w:t xml:space="preserve"> </w:t>
      </w:r>
      <w:r w:rsidR="00781C4A">
        <w:t xml:space="preserve">the case where downlink and uplink frame timings are not aligned at gNB. The </w:t>
      </w:r>
      <w:r w:rsidR="008C0E72">
        <w:t>BFR</w:t>
      </w:r>
      <w:r w:rsidR="00781C4A">
        <w:t xml:space="preserve"> request has to reach gNB before it can send back </w:t>
      </w:r>
      <w:r w:rsidR="008C0E72">
        <w:t>BFR</w:t>
      </w:r>
      <w:r w:rsidR="00781C4A">
        <w:t xml:space="preserve"> response. Hence, </w:t>
      </w:r>
      <w:r>
        <w:t>an</w:t>
      </w:r>
      <w:r w:rsidR="00781C4A">
        <w:t xml:space="preserv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781C4A">
        <w:t xml:space="preserve"> needs to be added to enhance the time relationship on the </w:t>
      </w:r>
      <w:r w:rsidR="008C0E72">
        <w:t>BFR</w:t>
      </w:r>
      <w:r w:rsidR="00781C4A">
        <w:t xml:space="preserve"> response window offset. This is similar to </w:t>
      </w:r>
      <w:r w:rsidR="00CD3663">
        <w:t xml:space="preserve">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CD3663">
        <w:t xml:space="preserve"> is used to capture the RTT between timing reference point and gNB</w:t>
      </w:r>
      <w:r w:rsidR="00781C4A">
        <w:t xml:space="preserve">. </w:t>
      </w:r>
      <w:r w:rsidR="00606F0B">
        <w:t xml:space="preserve">Specifically, </w:t>
      </w:r>
      <w:r w:rsidR="00EB738E">
        <w:t>we sh</w:t>
      </w:r>
      <w:r w:rsidR="00606F0B">
        <w:t>ould clarify that UE monitor</w:t>
      </w:r>
      <w:r w:rsidR="00EB738E">
        <w:t>s</w:t>
      </w:r>
      <w:r w:rsidR="00606F0B">
        <w:t xml:space="preserve"> PDCCH </w:t>
      </w:r>
      <w:r w:rsidR="00606F0B" w:rsidRPr="00EB738E">
        <w:rPr>
          <w:color w:val="0070C0"/>
        </w:rPr>
        <w:t xml:space="preserve">starting from the first slot after uplink slot </w:t>
      </w:r>
      <m:oMath>
        <m:r>
          <w:rPr>
            <w:rFonts w:ascii="Cambria Math" w:hAnsi="Cambria Math"/>
            <w:color w:val="0070C0"/>
          </w:rPr>
          <m:t>n+4+</m:t>
        </m:r>
        <m:sSub>
          <m:sSubPr>
            <m:ctrlPr>
              <w:rPr>
                <w:rFonts w:ascii="Cambria Math" w:hAnsi="Cambria Math"/>
                <w:i/>
                <w:color w:val="0070C0"/>
              </w:rPr>
            </m:ctrlPr>
          </m:sSubPr>
          <m:e>
            <m:r>
              <w:rPr>
                <w:rFonts w:ascii="Cambria Math" w:hAnsi="Cambria Math"/>
                <w:color w:val="0070C0"/>
              </w:rPr>
              <m:t>K</m:t>
            </m:r>
          </m:e>
          <m:sub>
            <m:r>
              <w:rPr>
                <w:rFonts w:ascii="Cambria Math" w:hAnsi="Cambria Math"/>
                <w:color w:val="0070C0"/>
              </w:rPr>
              <m:t>mac</m:t>
            </m:r>
          </m:sub>
        </m:sSub>
      </m:oMath>
      <w:r w:rsidR="00781C4A" w:rsidRPr="00EB738E">
        <w:rPr>
          <w:color w:val="000000" w:themeColor="text1"/>
        </w:rPr>
        <w:t xml:space="preserve">. </w:t>
      </w:r>
      <w:r w:rsidR="00EB738E" w:rsidRPr="00EB738E">
        <w:rPr>
          <w:color w:val="000000" w:themeColor="text1"/>
        </w:rPr>
        <w:t>Wit</w:t>
      </w:r>
      <w:r w:rsidR="00EB738E">
        <w:rPr>
          <w:color w:val="000000" w:themeColor="text1"/>
        </w:rPr>
        <w:t xml:space="preserve">h the enhancement of </w:t>
      </w:r>
      <w:r w:rsidR="008C0E72">
        <w:rPr>
          <w:color w:val="000000" w:themeColor="text1"/>
        </w:rPr>
        <w:t>BFR</w:t>
      </w:r>
      <w:r w:rsidR="00EB738E">
        <w:rPr>
          <w:color w:val="000000" w:themeColor="text1"/>
        </w:rPr>
        <w:t xml:space="preserve"> response window offset, it is unnecessarily to enlarge the existing </w:t>
      </w:r>
      <w:r w:rsidR="008C0E72">
        <w:rPr>
          <w:color w:val="000000" w:themeColor="text1"/>
        </w:rPr>
        <w:t>BFR</w:t>
      </w:r>
      <w:r w:rsidR="00EB738E">
        <w:rPr>
          <w:color w:val="000000" w:themeColor="text1"/>
        </w:rPr>
        <w:t xml:space="preserve"> response window size</w:t>
      </w:r>
      <w:r w:rsidR="008C0E72">
        <w:rPr>
          <w:color w:val="000000" w:themeColor="text1"/>
        </w:rPr>
        <w:t xml:space="preserve"> (i.e., </w:t>
      </w:r>
      <w:r w:rsidR="008C0E72" w:rsidRPr="008C0E72">
        <w:rPr>
          <w:i/>
          <w:iCs/>
          <w:color w:val="000000" w:themeColor="text1"/>
        </w:rPr>
        <w:t>ra_ResponseWindow</w:t>
      </w:r>
      <w:r w:rsidR="008C0E72">
        <w:rPr>
          <w:color w:val="000000" w:themeColor="text1"/>
        </w:rPr>
        <w:t>)</w:t>
      </w:r>
      <w:r w:rsidR="00EB738E">
        <w:rPr>
          <w:color w:val="000000" w:themeColor="text1"/>
        </w:rPr>
        <w:t xml:space="preserve">. </w:t>
      </w:r>
    </w:p>
    <w:p w14:paraId="7D5FFF64" w14:textId="66D593C4" w:rsidR="00606F0B" w:rsidRDefault="00606F0B" w:rsidP="000C77E3">
      <w:pPr>
        <w:jc w:val="both"/>
      </w:pPr>
    </w:p>
    <w:p w14:paraId="2A92AA89" w14:textId="4FD09460" w:rsidR="00606F0B" w:rsidRDefault="00606F0B" w:rsidP="000C77E3">
      <w:pPr>
        <w:jc w:val="both"/>
      </w:pPr>
      <w:r w:rsidRPr="001C381A">
        <w:rPr>
          <w:b/>
          <w:i/>
          <w:u w:val="single"/>
        </w:rPr>
        <w:t xml:space="preserve">Proposal </w:t>
      </w:r>
      <w:r w:rsidR="00336EF5">
        <w:rPr>
          <w:b/>
          <w:i/>
          <w:u w:val="single"/>
        </w:rPr>
        <w:t>8</w:t>
      </w:r>
      <w:r w:rsidRPr="001C381A">
        <w:rPr>
          <w:b/>
          <w:i/>
          <w:u w:val="single"/>
        </w:rPr>
        <w:t>:</w:t>
      </w:r>
      <w:r w:rsidRPr="00BF2C61">
        <w:rPr>
          <w:i/>
        </w:rPr>
        <w:t xml:space="preserve"> </w:t>
      </w:r>
      <w:r>
        <w:rPr>
          <w:i/>
        </w:rPr>
        <w:t xml:space="preserve">RAN1 to </w:t>
      </w:r>
      <w:r w:rsidR="00EB738E">
        <w:rPr>
          <w:i/>
        </w:rPr>
        <w:t xml:space="preserve">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EB738E">
        <w:rPr>
          <w:i/>
        </w:rPr>
        <w:t>.</w:t>
      </w:r>
    </w:p>
    <w:p w14:paraId="4D2381A7" w14:textId="77777777" w:rsidR="000C77E3" w:rsidRDefault="000C77E3" w:rsidP="000C77E3">
      <w:pPr>
        <w:jc w:val="both"/>
      </w:pPr>
    </w:p>
    <w:p w14:paraId="22602EBE" w14:textId="6CE65E4E" w:rsidR="00854FB5" w:rsidRDefault="000C77E3" w:rsidP="000C77E3">
      <w:pPr>
        <w:jc w:val="both"/>
      </w:pPr>
      <w:r>
        <w:t xml:space="preserve">Furthermore, in NR terrestrial network, when a UE receives a first PDCCH in the dedicated search space set configured for </w:t>
      </w:r>
      <w:r w:rsidR="008C0E72">
        <w:t>BFR</w:t>
      </w:r>
      <w:r>
        <w:t xml:space="preserve">, it resets its PUCCH transmission beam based on the newly identified beam after 28 symbols after the last symbol of the PDCCH. This also implies the time from which gNB adjusts its reception beam for the PUCCH. </w:t>
      </w:r>
    </w:p>
    <w:p w14:paraId="64985543" w14:textId="1B322114" w:rsidR="00854FB5" w:rsidRDefault="00854FB5" w:rsidP="000C77E3">
      <w:pPr>
        <w:jc w:val="both"/>
      </w:pPr>
    </w:p>
    <w:tbl>
      <w:tblPr>
        <w:tblStyle w:val="TableGrid"/>
        <w:tblW w:w="0" w:type="auto"/>
        <w:tblLook w:val="04A0" w:firstRow="1" w:lastRow="0" w:firstColumn="1" w:lastColumn="0" w:noHBand="0" w:noVBand="1"/>
      </w:tblPr>
      <w:tblGrid>
        <w:gridCol w:w="9629"/>
      </w:tblGrid>
      <w:tr w:rsidR="00854FB5" w14:paraId="3CEBB708" w14:textId="77777777" w:rsidTr="00854FB5">
        <w:tc>
          <w:tcPr>
            <w:tcW w:w="9629" w:type="dxa"/>
          </w:tcPr>
          <w:p w14:paraId="473875AA" w14:textId="77777777" w:rsidR="00854FB5" w:rsidRPr="00854FB5" w:rsidRDefault="00854FB5" w:rsidP="00854FB5">
            <w:pPr>
              <w:jc w:val="both"/>
              <w:rPr>
                <w:b/>
                <w:bCs/>
              </w:rPr>
            </w:pPr>
            <w:r w:rsidRPr="00854FB5">
              <w:rPr>
                <w:b/>
                <w:bCs/>
              </w:rPr>
              <w:t>TS 38.213 Section 6</w:t>
            </w:r>
          </w:p>
          <w:p w14:paraId="34B963DA" w14:textId="77777777" w:rsidR="00854FB5" w:rsidRDefault="00854FB5" w:rsidP="000C77E3">
            <w:pPr>
              <w:jc w:val="both"/>
              <w:rPr>
                <w:color w:val="000000"/>
                <w:sz w:val="20"/>
                <w:szCs w:val="20"/>
              </w:rPr>
            </w:pPr>
          </w:p>
          <w:p w14:paraId="64E193B0" w14:textId="16D64247" w:rsidR="00854FB5" w:rsidRDefault="00854FB5" w:rsidP="000C77E3">
            <w:pPr>
              <w:jc w:val="both"/>
            </w:pPr>
            <w:r w:rsidRPr="00854FB5">
              <w:rPr>
                <w:color w:val="000000"/>
                <w:sz w:val="22"/>
                <w:szCs w:val="22"/>
              </w:rPr>
              <w:t xml:space="preserve">For the PCell or the PSCell, after </w:t>
            </w:r>
            <w:r w:rsidRPr="00854FB5">
              <w:rPr>
                <w:color w:val="0070C0"/>
                <w:sz w:val="22"/>
                <w:szCs w:val="22"/>
              </w:rPr>
              <w:t xml:space="preserve">28 symbols from a last symbol of a first PDCCH reception </w:t>
            </w:r>
            <w:r w:rsidRPr="00854FB5">
              <w:rPr>
                <w:color w:val="000000"/>
                <w:sz w:val="22"/>
                <w:szCs w:val="22"/>
              </w:rPr>
              <w:t xml:space="preserve">in a search space set provided by </w:t>
            </w:r>
            <w:r w:rsidRPr="00854FB5">
              <w:rPr>
                <w:i/>
                <w:iCs/>
                <w:color w:val="000000"/>
                <w:sz w:val="22"/>
                <w:szCs w:val="22"/>
              </w:rPr>
              <w:t xml:space="preserve">recoverySearchSpaceId </w:t>
            </w:r>
            <w:r w:rsidRPr="00854FB5">
              <w:rPr>
                <w:color w:val="000000"/>
                <w:sz w:val="22"/>
                <w:szCs w:val="22"/>
              </w:rPr>
              <w:t xml:space="preserve">for which the UE detects a DCI format with CRC scrambled by C-RNTI or MCS- C-RNTI and until the UE receives an activation command for </w:t>
            </w:r>
            <w:r w:rsidRPr="00854FB5">
              <w:rPr>
                <w:i/>
                <w:iCs/>
                <w:color w:val="000000"/>
                <w:sz w:val="22"/>
                <w:szCs w:val="22"/>
              </w:rPr>
              <w:t xml:space="preserve">PUCCH-SpatialRelationInfo </w:t>
            </w:r>
            <w:r w:rsidRPr="00854FB5">
              <w:rPr>
                <w:color w:val="000000"/>
                <w:sz w:val="22"/>
                <w:szCs w:val="22"/>
              </w:rPr>
              <w:t xml:space="preserve">[11, TS 38.321] or is provided </w:t>
            </w:r>
            <w:r w:rsidRPr="00854FB5">
              <w:rPr>
                <w:i/>
                <w:iCs/>
                <w:color w:val="000000"/>
                <w:sz w:val="22"/>
                <w:szCs w:val="22"/>
              </w:rPr>
              <w:t xml:space="preserve">PUCCH-SpatialRelationInfo </w:t>
            </w:r>
            <w:r w:rsidRPr="00854FB5">
              <w:rPr>
                <w:color w:val="000000"/>
                <w:sz w:val="22"/>
                <w:szCs w:val="22"/>
              </w:rPr>
              <w:t>for PUCCH resource(s), the UE transmits a PUCCH on a same cell as the PRACH transmission using</w:t>
            </w:r>
          </w:p>
        </w:tc>
      </w:tr>
    </w:tbl>
    <w:p w14:paraId="6D2BCC23" w14:textId="77777777" w:rsidR="00854FB5" w:rsidRDefault="00854FB5" w:rsidP="000C77E3">
      <w:pPr>
        <w:jc w:val="both"/>
      </w:pPr>
    </w:p>
    <w:p w14:paraId="1BF08211" w14:textId="2964F807" w:rsidR="002B775F" w:rsidRDefault="00854FB5" w:rsidP="00854FB5">
      <w:pPr>
        <w:jc w:val="both"/>
      </w:pPr>
      <w:r>
        <w:t>In NTN, due to large propagation delay, the time from wh</w:t>
      </w:r>
      <w:r w:rsidR="00D7345F">
        <w:t>en</w:t>
      </w:r>
      <w:r>
        <w:t xml:space="preserve"> gNB adjusts its reception beam for the PUCCH (with new beam) needs to be clarified.</w:t>
      </w:r>
      <w:r w:rsidR="002B775F">
        <w:t xml:space="preserve"> This is illustrated in </w:t>
      </w:r>
      <w:r w:rsidR="002B775F">
        <w:fldChar w:fldCharType="begin"/>
      </w:r>
      <w:r w:rsidR="002B775F">
        <w:instrText xml:space="preserve"> REF _Ref77923402 \h </w:instrText>
      </w:r>
      <w:r w:rsidR="002B775F">
        <w:fldChar w:fldCharType="separate"/>
      </w:r>
      <w:r w:rsidR="00627E67">
        <w:t xml:space="preserve">Figure </w:t>
      </w:r>
      <w:r w:rsidR="00627E67">
        <w:rPr>
          <w:noProof/>
        </w:rPr>
        <w:t>1</w:t>
      </w:r>
      <w:r w:rsidR="002B775F">
        <w:fldChar w:fldCharType="end"/>
      </w:r>
      <w:r w:rsidR="002B775F">
        <w:t xml:space="preserve">. </w:t>
      </w:r>
    </w:p>
    <w:p w14:paraId="34FE7D9F" w14:textId="2225FDBA" w:rsidR="002B775F" w:rsidRDefault="002B775F" w:rsidP="00854FB5">
      <w:pPr>
        <w:jc w:val="both"/>
      </w:pPr>
    </w:p>
    <w:p w14:paraId="123A5873" w14:textId="5F84B9D1" w:rsidR="002B775F" w:rsidRDefault="00A03CB7" w:rsidP="002B775F">
      <w:pPr>
        <w:keepNext/>
        <w:jc w:val="center"/>
      </w:pPr>
      <w:r w:rsidRPr="00A03CB7">
        <w:rPr>
          <w:noProof/>
        </w:rPr>
        <w:drawing>
          <wp:inline distT="0" distB="0" distL="0" distR="0" wp14:anchorId="01D95FCB" wp14:editId="41B63812">
            <wp:extent cx="3616639" cy="1477573"/>
            <wp:effectExtent l="0" t="0" r="3175" b="0"/>
            <wp:docPr id="88" name="Picture 8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Timeline&#10;&#10;Description automatically generated"/>
                    <pic:cNvPicPr/>
                  </pic:nvPicPr>
                  <pic:blipFill>
                    <a:blip r:embed="rId9"/>
                    <a:stretch>
                      <a:fillRect/>
                    </a:stretch>
                  </pic:blipFill>
                  <pic:spPr>
                    <a:xfrm>
                      <a:off x="0" y="0"/>
                      <a:ext cx="3640741" cy="1487420"/>
                    </a:xfrm>
                    <a:prstGeom prst="rect">
                      <a:avLst/>
                    </a:prstGeom>
                  </pic:spPr>
                </pic:pic>
              </a:graphicData>
            </a:graphic>
          </wp:inline>
        </w:drawing>
      </w:r>
    </w:p>
    <w:p w14:paraId="483E7AA9" w14:textId="16A196C7" w:rsidR="0014276A" w:rsidRDefault="002B775F" w:rsidP="0014276A">
      <w:pPr>
        <w:pStyle w:val="Caption"/>
      </w:pPr>
      <w:bookmarkStart w:id="0" w:name="_Ref77923402"/>
      <w:r>
        <w:t xml:space="preserve">Figure </w:t>
      </w:r>
      <w:fldSimple w:instr=" SEQ Figure \* ARABIC ">
        <w:r w:rsidR="00627E67">
          <w:rPr>
            <w:noProof/>
          </w:rPr>
          <w:t>1</w:t>
        </w:r>
      </w:fldSimple>
      <w:bookmarkEnd w:id="0"/>
      <w:r>
        <w:t>: Timing relationship of PUCCH with new beam</w:t>
      </w:r>
    </w:p>
    <w:p w14:paraId="30EE8711" w14:textId="56C066E4" w:rsidR="0014276A" w:rsidRDefault="0014276A" w:rsidP="006A7CB6">
      <w:pPr>
        <w:jc w:val="both"/>
      </w:pPr>
    </w:p>
    <w:p w14:paraId="399B2B80" w14:textId="130EB929" w:rsidR="0014276A" w:rsidRDefault="0014276A" w:rsidP="0014276A">
      <w:pPr>
        <w:jc w:val="both"/>
      </w:pPr>
      <w:r>
        <w:t>The issue of PUCCH transmission with new beam in BFR is a typical downlink to uplink timing interaction problem</w:t>
      </w:r>
      <w:r w:rsidR="00D53B3B">
        <w:t xml:space="preserve">. It is </w:t>
      </w:r>
      <w:r>
        <w:t xml:space="preserve">similar to downlink configuration MAC CE activation timing issue. For the latter issue, the activation time is the first (downlink) slot shat is after (uplink) slot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 μ</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where </w:t>
      </w:r>
      <m:oMath>
        <m:r>
          <w:rPr>
            <w:rFonts w:ascii="Cambria Math" w:hAnsi="Cambria Math"/>
          </w:rPr>
          <m:t xml:space="preserve">n </m:t>
        </m:r>
      </m:oMath>
      <w:r>
        <w:t>is the slot when UE transmits ACK for the MAC CE.</w:t>
      </w:r>
      <w:r w:rsidR="00D53B3B">
        <w:t xml:space="preserve"> This implies that</w:t>
      </w:r>
      <w:r>
        <w:t xml:space="preserve"> the transition between downlink slot and uplink slot is conducted with the assumption of TA being 0. However, in the current specification for PUCCH transmission with new beam in BFR, the </w:t>
      </w:r>
      <w:r>
        <w:lastRenderedPageBreak/>
        <w:t>transit</w:t>
      </w:r>
      <w:r w:rsidR="00D53B3B">
        <w:t>ion</w:t>
      </w:r>
      <w:r>
        <w:t xml:space="preserve"> between downlink timing and uplink timing take</w:t>
      </w:r>
      <w:r w:rsidR="00D53B3B">
        <w:t>s</w:t>
      </w:r>
      <w:r>
        <w:t xml:space="preserve"> the effect of TA into account. Hence, the current specification needs to be modified. </w:t>
      </w:r>
    </w:p>
    <w:p w14:paraId="156DA5C9" w14:textId="77777777" w:rsidR="00D53B3B" w:rsidRDefault="00D53B3B" w:rsidP="006A7CB6">
      <w:pPr>
        <w:jc w:val="both"/>
      </w:pPr>
    </w:p>
    <w:p w14:paraId="1BD8A611" w14:textId="62AD6870" w:rsidR="000C77E3" w:rsidRDefault="002B775F" w:rsidP="006A7CB6">
      <w:pPr>
        <w:jc w:val="both"/>
      </w:pPr>
      <w:r>
        <w:t>Like other timing relationship enhancement</w:t>
      </w:r>
      <w:r w:rsidR="006A7CB6">
        <w:t>s</w:t>
      </w:r>
      <w:r>
        <w:t xml:space="preserve"> (e.g., transmission timing of HARQ-ACK on PUCCH), we could </w:t>
      </w:r>
      <w:r w:rsidR="006A7CB6">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to enhance the timing relationship on PUCCH. Specifically, the PUCCH with new beam is transmitted after</w:t>
      </w:r>
      <w:r w:rsidR="007B578E">
        <w:t xml:space="preserve"> uplink symbol</w:t>
      </w:r>
      <w:r w:rsidR="006A7CB6">
        <w:t xml:space="preserve"> </w:t>
      </w:r>
      <m:oMath>
        <m:sSub>
          <m:sSubPr>
            <m:ctrlPr>
              <w:rPr>
                <w:rFonts w:ascii="Cambria Math" w:hAnsi="Cambria Math"/>
                <w:i/>
              </w:rPr>
            </m:ctrlPr>
          </m:sSubPr>
          <m:e>
            <m:r>
              <w:rPr>
                <w:rFonts w:ascii="Cambria Math" w:hAnsi="Cambria Math"/>
              </w:rPr>
              <m:t>n+K'</m:t>
            </m:r>
          </m:e>
          <m:sub>
            <m:r>
              <w:rPr>
                <w:rFonts w:ascii="Cambria Math" w:hAnsi="Cambria Math"/>
              </w:rPr>
              <m:t>offset</m:t>
            </m:r>
          </m:sub>
        </m:sSub>
        <m:r>
          <w:rPr>
            <w:rFonts w:ascii="Cambria Math" w:hAnsi="Cambria Math"/>
          </w:rPr>
          <m:t>+28</m:t>
        </m:r>
      </m:oMath>
      <w:r w:rsidR="00D53B3B">
        <w:t xml:space="preserve">, where </w:t>
      </w:r>
      <m:oMath>
        <m:r>
          <w:rPr>
            <w:rFonts w:ascii="Cambria Math" w:hAnsi="Cambria Math"/>
          </w:rPr>
          <m:t>n</m:t>
        </m:r>
      </m:oMath>
      <w:r w:rsidR="006A7CB6">
        <w:t xml:space="preserve"> </w:t>
      </w:r>
      <w:r w:rsidR="00D53B3B">
        <w:t xml:space="preserve">is the </w:t>
      </w:r>
      <w:r w:rsidR="006A7CB6">
        <w:t xml:space="preserve">last downlink symbol of PDCCH reception with </w:t>
      </w:r>
      <w:r w:rsidR="00D917AD">
        <w:t xml:space="preserve">BFR </w:t>
      </w:r>
      <w:r w:rsidR="006A7CB6">
        <w:t xml:space="preserve">response,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converted to symbols. </w:t>
      </w:r>
      <w:r w:rsidR="00430AD7">
        <w:t xml:space="preserve">This is shown in </w:t>
      </w:r>
      <w:r w:rsidR="00430AD7">
        <w:fldChar w:fldCharType="begin"/>
      </w:r>
      <w:r w:rsidR="00430AD7">
        <w:instrText xml:space="preserve"> REF _Ref77924643 \h </w:instrText>
      </w:r>
      <w:r w:rsidR="00430AD7">
        <w:fldChar w:fldCharType="separate"/>
      </w:r>
      <w:r w:rsidR="00627E67">
        <w:t xml:space="preserve">Figure </w:t>
      </w:r>
      <w:r w:rsidR="00627E67">
        <w:rPr>
          <w:noProof/>
        </w:rPr>
        <w:t>2</w:t>
      </w:r>
      <w:r w:rsidR="00430AD7">
        <w:fldChar w:fldCharType="end"/>
      </w:r>
      <w:r w:rsidR="00430AD7">
        <w:t xml:space="preserve">. </w:t>
      </w:r>
    </w:p>
    <w:p w14:paraId="656F63B4" w14:textId="77777777" w:rsidR="00430AD7" w:rsidRDefault="00430AD7" w:rsidP="006A7CB6">
      <w:pPr>
        <w:jc w:val="both"/>
      </w:pPr>
    </w:p>
    <w:p w14:paraId="7283CBD0" w14:textId="3CE61CBC" w:rsidR="00430AD7" w:rsidRDefault="00C404A8" w:rsidP="00430AD7">
      <w:pPr>
        <w:keepNext/>
        <w:jc w:val="center"/>
      </w:pPr>
      <w:r w:rsidRPr="00C404A8">
        <w:rPr>
          <w:noProof/>
        </w:rPr>
        <w:drawing>
          <wp:inline distT="0" distB="0" distL="0" distR="0" wp14:anchorId="62E91A3B" wp14:editId="52FC9ED7">
            <wp:extent cx="4800600" cy="1446306"/>
            <wp:effectExtent l="0" t="0" r="0" b="1905"/>
            <wp:docPr id="1" name="Picture 1" descr="A picture containing text, screensho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creen&#10;&#10;Description automatically generated"/>
                    <pic:cNvPicPr/>
                  </pic:nvPicPr>
                  <pic:blipFill>
                    <a:blip r:embed="rId10"/>
                    <a:stretch>
                      <a:fillRect/>
                    </a:stretch>
                  </pic:blipFill>
                  <pic:spPr>
                    <a:xfrm>
                      <a:off x="0" y="0"/>
                      <a:ext cx="4810228" cy="1449207"/>
                    </a:xfrm>
                    <a:prstGeom prst="rect">
                      <a:avLst/>
                    </a:prstGeom>
                  </pic:spPr>
                </pic:pic>
              </a:graphicData>
            </a:graphic>
          </wp:inline>
        </w:drawing>
      </w:r>
    </w:p>
    <w:p w14:paraId="66A5CDD9" w14:textId="3E8BD098" w:rsidR="0014276A" w:rsidRDefault="00430AD7" w:rsidP="00D53B3B">
      <w:pPr>
        <w:pStyle w:val="Caption"/>
      </w:pPr>
      <w:bookmarkStart w:id="1" w:name="_Ref77924643"/>
      <w:r>
        <w:t xml:space="preserve">Figure </w:t>
      </w:r>
      <w:fldSimple w:instr=" SEQ Figure \* ARABIC ">
        <w:r w:rsidR="00627E67">
          <w:rPr>
            <w:noProof/>
          </w:rPr>
          <w:t>2</w:t>
        </w:r>
      </w:fldSimple>
      <w:bookmarkEnd w:id="1"/>
      <w:r>
        <w:t>: Illustration of intr</w:t>
      </w:r>
      <w:r w:rsidR="00571D73">
        <w:t>o</w:t>
      </w:r>
      <w:r>
        <w:t xml:space="preserve">ducing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t xml:space="preserve"> to enhance PUCCH transmission tim</w:t>
      </w:r>
      <w:r w:rsidR="00D53B3B">
        <w:t>e</w:t>
      </w:r>
    </w:p>
    <w:p w14:paraId="6918AAE5" w14:textId="5E9B6702" w:rsidR="000C77E3" w:rsidRPr="000C77E3" w:rsidRDefault="000C77E3" w:rsidP="006A7CB6">
      <w:pPr>
        <w:jc w:val="both"/>
        <w:rPr>
          <w:i/>
        </w:rPr>
      </w:pPr>
      <w:r w:rsidRPr="001C381A">
        <w:rPr>
          <w:b/>
          <w:i/>
          <w:u w:val="single"/>
        </w:rPr>
        <w:t xml:space="preserve">Proposal </w:t>
      </w:r>
      <w:r w:rsidR="00336EF5">
        <w:rPr>
          <w:b/>
          <w:i/>
          <w:u w:val="single"/>
        </w:rPr>
        <w:t>9</w:t>
      </w:r>
      <w:r w:rsidRPr="001C381A">
        <w:rPr>
          <w:b/>
          <w:i/>
          <w:u w:val="single"/>
        </w:rPr>
        <w:t>:</w:t>
      </w:r>
      <w:r w:rsidRPr="00BF2C61">
        <w:rPr>
          <w:i/>
        </w:rPr>
        <w:t xml:space="preserve"> </w:t>
      </w:r>
      <w:r>
        <w:rPr>
          <w:i/>
        </w:rPr>
        <w:t>RAN1 to</w:t>
      </w:r>
      <w:r w:rsidR="006A7CB6">
        <w:rPr>
          <w:i/>
        </w:rPr>
        <w:t xml:space="preserve">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rPr>
          <w:i/>
        </w:rPr>
        <w:t xml:space="preserve"> to</w:t>
      </w:r>
      <w:r>
        <w:rPr>
          <w:i/>
        </w:rPr>
        <w:t xml:space="preserve"> </w:t>
      </w:r>
      <w:r w:rsidR="006A7CB6">
        <w:rPr>
          <w:i/>
        </w:rPr>
        <w:t>enhance the</w:t>
      </w:r>
      <w:r>
        <w:rPr>
          <w:i/>
        </w:rPr>
        <w:t xml:space="preserve"> timing relationship </w:t>
      </w:r>
      <w:r w:rsidR="006A7CB6">
        <w:rPr>
          <w:i/>
        </w:rPr>
        <w:t>on the PUCCH transmission with new beam in the beam failure recovery procedure.</w:t>
      </w:r>
    </w:p>
    <w:p w14:paraId="0CEAACA4" w14:textId="77777777" w:rsidR="000C77E3" w:rsidRDefault="000C77E3" w:rsidP="00163AAA">
      <w:pPr>
        <w:jc w:val="both"/>
      </w:pPr>
    </w:p>
    <w:p w14:paraId="2896E657" w14:textId="2DF29AD0" w:rsidR="00854A60" w:rsidRPr="00A6576F" w:rsidRDefault="009C5A97" w:rsidP="00FB330B">
      <w:pPr>
        <w:pStyle w:val="Heading1"/>
      </w:pPr>
      <w:r w:rsidRPr="00A6576F">
        <w:t>Conclusion</w:t>
      </w:r>
    </w:p>
    <w:p w14:paraId="1C116919" w14:textId="34D64561"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w:t>
      </w:r>
      <w:r w:rsidR="00D53B3B">
        <w:t xml:space="preserve">observations and </w:t>
      </w:r>
      <w:r w:rsidR="009C0798">
        <w:t xml:space="preserve">proposals are as follows: </w:t>
      </w:r>
    </w:p>
    <w:p w14:paraId="10DCA717" w14:textId="77777777" w:rsidR="004B1800" w:rsidRDefault="004B1800" w:rsidP="009C0798">
      <w:pPr>
        <w:jc w:val="both"/>
      </w:pPr>
    </w:p>
    <w:p w14:paraId="0ECBE401" w14:textId="77777777" w:rsidR="00703B19" w:rsidRDefault="00703B19" w:rsidP="00703B19">
      <w:pPr>
        <w:jc w:val="both"/>
      </w:pPr>
      <w:r w:rsidRPr="00505F29">
        <w:rPr>
          <w:b/>
          <w:i/>
          <w:u w:val="single"/>
        </w:rPr>
        <w:t>Proposal 1:</w:t>
      </w:r>
      <w:r w:rsidRPr="00505F29">
        <w:rPr>
          <w:i/>
        </w:rPr>
        <w:t xml:space="preserve">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05F29">
        <w:rPr>
          <w:i/>
        </w:rPr>
        <w:t xml:space="preserve"> is </w:t>
      </w:r>
      <w:r>
        <w:rPr>
          <w:i/>
        </w:rPr>
        <w:t xml:space="preserve">0-542 ms for all scenarios. </w:t>
      </w:r>
    </w:p>
    <w:p w14:paraId="3EF6B512" w14:textId="77777777" w:rsidR="00703B19" w:rsidRDefault="00703B19" w:rsidP="00703B19"/>
    <w:p w14:paraId="31A377F4" w14:textId="77777777" w:rsidR="00010EDD" w:rsidRDefault="00010EDD" w:rsidP="00010EDD">
      <w:pPr>
        <w:jc w:val="both"/>
        <w:rPr>
          <w:b/>
          <w:bCs/>
          <w:i/>
        </w:rPr>
      </w:pPr>
      <w:r w:rsidRPr="0054558E">
        <w:rPr>
          <w:b/>
          <w:bCs/>
          <w:i/>
          <w:u w:val="single"/>
        </w:rPr>
        <w:t>Proposal 2:</w:t>
      </w:r>
      <w:r w:rsidRPr="0054558E">
        <w:rPr>
          <w:b/>
          <w:bCs/>
          <w:i/>
        </w:rPr>
        <w:t xml:space="preserve"> </w:t>
      </w:r>
      <w:r w:rsidRPr="0054558E">
        <w:rPr>
          <w:i/>
        </w:rPr>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4558E">
        <w:rPr>
          <w:i/>
        </w:rPr>
        <w:t xml:space="preserve"> signaled via RRC reconfiguration is not supported in Release 17.</w:t>
      </w:r>
      <w:r w:rsidRPr="00586824">
        <w:rPr>
          <w:b/>
          <w:bCs/>
          <w:i/>
        </w:rPr>
        <w:t xml:space="preserve"> </w:t>
      </w:r>
    </w:p>
    <w:p w14:paraId="5BCEB02B" w14:textId="77777777" w:rsidR="00703B19" w:rsidRDefault="00703B19" w:rsidP="00703B19"/>
    <w:p w14:paraId="2349444E" w14:textId="77777777" w:rsidR="00703B19" w:rsidRDefault="00703B19" w:rsidP="00703B19">
      <w:pPr>
        <w:jc w:val="both"/>
        <w:rPr>
          <w:i/>
        </w:rPr>
      </w:pPr>
      <w:r w:rsidRPr="0054558E">
        <w:rPr>
          <w:b/>
          <w:bCs/>
          <w:i/>
          <w:u w:val="single"/>
        </w:rPr>
        <w:t>Proposal 3:</w:t>
      </w:r>
      <w:r w:rsidRPr="0054558E">
        <w:rPr>
          <w:b/>
          <w:bCs/>
          <w:i/>
        </w:rPr>
        <w:t xml:space="preserve"> </w:t>
      </w:r>
      <w:r w:rsidRPr="0054558E">
        <w:rPr>
          <w:i/>
        </w:rPr>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4558E">
        <w:rPr>
          <w:i/>
        </w:rPr>
        <w:t xml:space="preserve"> has the same unit and value range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4558E">
        <w:rPr>
          <w:i/>
        </w:rPr>
        <w:t xml:space="preserve">, and MAC CE contains a full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4558E">
        <w:rPr>
          <w:i/>
        </w:rPr>
        <w:t xml:space="preserve"> value.</w:t>
      </w:r>
      <w:r>
        <w:rPr>
          <w:i/>
        </w:rPr>
        <w:t xml:space="preserve">  </w:t>
      </w:r>
    </w:p>
    <w:p w14:paraId="4CCE2047" w14:textId="77777777" w:rsidR="00703B19" w:rsidRDefault="00703B19" w:rsidP="00703B19"/>
    <w:p w14:paraId="1AB929A0" w14:textId="77777777" w:rsidR="00703B19" w:rsidRDefault="00703B19" w:rsidP="00703B19">
      <w:pPr>
        <w:jc w:val="both"/>
        <w:rPr>
          <w:i/>
        </w:rPr>
      </w:pPr>
      <w:r w:rsidRPr="00586824">
        <w:rPr>
          <w:b/>
          <w:bCs/>
          <w:i/>
          <w:u w:val="single"/>
        </w:rPr>
        <w:t xml:space="preserve">Proposal </w:t>
      </w:r>
      <w:r>
        <w:rPr>
          <w:b/>
          <w:bCs/>
          <w:i/>
          <w:u w:val="single"/>
        </w:rPr>
        <w:t>4</w:t>
      </w:r>
      <w:r w:rsidRPr="00586824">
        <w:rPr>
          <w:b/>
          <w:bCs/>
          <w:i/>
          <w:u w:val="single"/>
        </w:rPr>
        <w:t>:</w:t>
      </w:r>
      <w:r w:rsidRPr="00586824">
        <w:rPr>
          <w:b/>
          <w:bCs/>
          <w:i/>
        </w:rPr>
        <w:t xml:space="preserve"> </w:t>
      </w:r>
      <w:r>
        <w:rPr>
          <w:i/>
        </w:rPr>
        <w:t>UE reports the differential UE specific TA or differential full TA, where the differential UE specific TA/full TA is the difference between the current UE specific TA/full TA and the last reported UE specific TA/full TA.</w:t>
      </w:r>
    </w:p>
    <w:p w14:paraId="4C7E8CD5" w14:textId="77777777" w:rsidR="00703B19" w:rsidRDefault="00703B19" w:rsidP="00703B19"/>
    <w:p w14:paraId="2DED9994" w14:textId="77777777" w:rsidR="00703B19" w:rsidRDefault="00703B19" w:rsidP="00703B19">
      <w:pPr>
        <w:jc w:val="both"/>
        <w:rPr>
          <w:i/>
        </w:rPr>
      </w:pPr>
      <w:r w:rsidRPr="001C381A">
        <w:rPr>
          <w:b/>
          <w:i/>
          <w:u w:val="single"/>
        </w:rPr>
        <w:t xml:space="preserve">Proposal </w:t>
      </w:r>
      <w:r>
        <w:rPr>
          <w:b/>
          <w:i/>
          <w:u w:val="single"/>
        </w:rPr>
        <w:t>5</w:t>
      </w:r>
      <w:r w:rsidRPr="001C381A">
        <w:rPr>
          <w:b/>
          <w:i/>
          <w:u w:val="single"/>
        </w:rPr>
        <w:t>:</w:t>
      </w:r>
      <w:r w:rsidRPr="00BF2C61">
        <w:rPr>
          <w:i/>
        </w:rPr>
        <w:t xml:space="preserve"> </w:t>
      </w:r>
      <w:r>
        <w:rPr>
          <w:i/>
        </w:rPr>
        <w:t>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F298036" w14:textId="77777777" w:rsidR="00703B19" w:rsidRPr="007A04F6" w:rsidRDefault="00703B19" w:rsidP="00703B19">
      <w:pPr>
        <w:pStyle w:val="ListParagraph"/>
        <w:numPr>
          <w:ilvl w:val="0"/>
          <w:numId w:val="4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FFS</w:t>
      </w:r>
      <w:r w:rsidRPr="007A04F6">
        <w:rPr>
          <w:rFonts w:ascii="Times New Roman" w:eastAsia="Malgun Gothic" w:hAnsi="Times New Roman"/>
          <w:i/>
          <w:sz w:val="24"/>
          <w:szCs w:val="24"/>
          <w:lang w:eastAsia="zh-CN"/>
        </w:rPr>
        <w:t xml:space="preserve"> reporting failure </w:t>
      </w:r>
      <w:r>
        <w:rPr>
          <w:rFonts w:ascii="Times New Roman" w:eastAsia="Malgun Gothic" w:hAnsi="Times New Roman"/>
          <w:i/>
          <w:sz w:val="24"/>
          <w:szCs w:val="24"/>
          <w:lang w:eastAsia="zh-CN"/>
        </w:rPr>
        <w:t>handling</w:t>
      </w:r>
    </w:p>
    <w:p w14:paraId="462848FF" w14:textId="77777777" w:rsidR="00703B19" w:rsidRDefault="00703B19" w:rsidP="00703B19"/>
    <w:p w14:paraId="12852D04" w14:textId="77777777" w:rsidR="00703B19" w:rsidRDefault="00703B19" w:rsidP="00703B19">
      <w:pPr>
        <w:rPr>
          <w:i/>
        </w:rPr>
      </w:pPr>
      <w:r w:rsidRPr="00336EF5">
        <w:rPr>
          <w:b/>
          <w:i/>
          <w:u w:val="single"/>
        </w:rPr>
        <w:t xml:space="preserve">Proposal </w:t>
      </w:r>
      <w:r>
        <w:rPr>
          <w:b/>
          <w:i/>
          <w:u w:val="single"/>
        </w:rPr>
        <w:t>6</w:t>
      </w:r>
      <w:r w:rsidRPr="00336EF5">
        <w:rPr>
          <w:b/>
          <w:i/>
          <w:u w:val="single"/>
        </w:rPr>
        <w:t>:</w:t>
      </w:r>
      <w:r w:rsidRPr="00336EF5">
        <w:rPr>
          <w:i/>
        </w:rPr>
        <w:t xml:space="preserve"> </w:t>
      </w:r>
      <w:r w:rsidRPr="00505F29">
        <w:rPr>
          <w:i/>
        </w:rPr>
        <w:t xml:space="preserve">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505F29">
        <w:rPr>
          <w:i/>
        </w:rPr>
        <w:t xml:space="preserve"> is </w:t>
      </w:r>
      <w:r>
        <w:rPr>
          <w:i/>
        </w:rPr>
        <w:t>1-271 ms for all scenarios.</w:t>
      </w:r>
    </w:p>
    <w:p w14:paraId="1A1CA5C8" w14:textId="77777777" w:rsidR="00703B19" w:rsidRDefault="00703B19" w:rsidP="00703B19">
      <w:pPr>
        <w:rPr>
          <w:i/>
        </w:rPr>
      </w:pPr>
    </w:p>
    <w:p w14:paraId="5810AD64" w14:textId="77777777" w:rsidR="00703B19" w:rsidRDefault="00703B19" w:rsidP="00703B19">
      <w:pPr>
        <w:jc w:val="both"/>
        <w:rPr>
          <w:i/>
        </w:rPr>
      </w:pPr>
      <w:r w:rsidRPr="001C381A">
        <w:rPr>
          <w:b/>
          <w:i/>
          <w:u w:val="single"/>
        </w:rPr>
        <w:t xml:space="preserve">Proposal </w:t>
      </w:r>
      <w:r>
        <w:rPr>
          <w:b/>
          <w:i/>
          <w:u w:val="single"/>
        </w:rPr>
        <w:t>7</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i/>
        </w:rPr>
        <w:t xml:space="preserve"> range extension in unpaired spectrum does not change the </w:t>
      </w:r>
      <w:r w:rsidRPr="00A61EE0">
        <w:rPr>
          <w:i/>
          <w:iCs/>
        </w:rPr>
        <w:t xml:space="preserve">PDSCH-to-HARQ_feedback timing indicator </w:t>
      </w:r>
      <w:r>
        <w:rPr>
          <w:i/>
        </w:rPr>
        <w:t xml:space="preserve">field size in DCI. </w:t>
      </w:r>
    </w:p>
    <w:p w14:paraId="12D8B6F6" w14:textId="77777777" w:rsidR="00703B19" w:rsidRPr="001C27F5" w:rsidRDefault="00703B19" w:rsidP="00703B19">
      <w:pPr>
        <w:pStyle w:val="ListParagraph"/>
        <w:numPr>
          <w:ilvl w:val="0"/>
          <w:numId w:val="45"/>
        </w:numPr>
        <w:jc w:val="both"/>
        <w:rPr>
          <w:i/>
        </w:rPr>
      </w:pPr>
      <w:r w:rsidRPr="001C27F5">
        <w:rPr>
          <w:rFonts w:ascii="Times New Roman" w:eastAsia="Malgun Gothic" w:hAnsi="Times New Roman"/>
          <w:i/>
          <w:sz w:val="24"/>
          <w:szCs w:val="24"/>
          <w:lang w:eastAsia="zh-CN"/>
        </w:rPr>
        <w:t>For</w:t>
      </w:r>
      <w:r>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entries in the configured </w:t>
      </w:r>
      <w:r>
        <w:rPr>
          <w:rFonts w:ascii="Times New Roman" w:eastAsia="Malgun Gothic" w:hAnsi="Times New Roman"/>
          <w:i/>
          <w:sz w:val="24"/>
          <w:szCs w:val="24"/>
          <w:lang w:eastAsia="zh-CN"/>
        </w:rPr>
        <w:t xml:space="preserve">dl-DataToUL-ACK </w:t>
      </w:r>
      <w:r w:rsidRPr="001C27F5">
        <w:rPr>
          <w:rFonts w:ascii="Times New Roman" w:eastAsia="Malgun Gothic" w:hAnsi="Times New Roman"/>
          <w:i/>
          <w:sz w:val="24"/>
          <w:szCs w:val="24"/>
          <w:lang w:eastAsia="zh-CN"/>
        </w:rPr>
        <w:t>table</w:t>
      </w:r>
      <w:r>
        <w:rPr>
          <w:rFonts w:ascii="Times New Roman" w:eastAsia="Malgun Gothic" w:hAnsi="Times New Roman"/>
          <w:i/>
          <w:sz w:val="24"/>
          <w:szCs w:val="24"/>
          <w:lang w:eastAsia="zh-CN"/>
        </w:rPr>
        <w:t>.</w:t>
      </w:r>
    </w:p>
    <w:p w14:paraId="1EEFC8D8" w14:textId="77777777" w:rsidR="00703B19" w:rsidRPr="00FD592E" w:rsidRDefault="00703B19" w:rsidP="00703B19">
      <w:pPr>
        <w:pStyle w:val="ListParagraph"/>
        <w:numPr>
          <w:ilvl w:val="0"/>
          <w:numId w:val="45"/>
        </w:numPr>
        <w:jc w:val="both"/>
      </w:pPr>
      <w:r w:rsidRPr="00FD592E">
        <w:rPr>
          <w:rFonts w:ascii="Times New Roman" w:eastAsia="Malgun Gothic" w:hAnsi="Times New Roman"/>
          <w:i/>
          <w:sz w:val="24"/>
          <w:szCs w:val="24"/>
          <w:lang w:eastAsia="zh-CN"/>
        </w:rPr>
        <w:lastRenderedPageBreak/>
        <w:t xml:space="preserve">For </w:t>
      </w:r>
      <w:r>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 xml:space="preserve">DCI, consider introducing a scaling factor 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Pr="00FD592E">
        <w:rPr>
          <w:rFonts w:ascii="Times New Roman" w:eastAsia="Malgun Gothic" w:hAnsi="Times New Roman"/>
          <w:i/>
          <w:sz w:val="24"/>
          <w:szCs w:val="24"/>
          <w:lang w:eastAsia="zh-CN"/>
        </w:rPr>
        <w:t xml:space="preserve"> value</w:t>
      </w:r>
      <w:r>
        <w:rPr>
          <w:rFonts w:ascii="Times New Roman" w:eastAsia="Malgun Gothic" w:hAnsi="Times New Roman"/>
          <w:i/>
          <w:sz w:val="24"/>
          <w:szCs w:val="24"/>
          <w:lang w:eastAsia="zh-CN"/>
        </w:rPr>
        <w:t>.</w:t>
      </w:r>
    </w:p>
    <w:p w14:paraId="6FF8D943" w14:textId="77777777" w:rsidR="00703B19" w:rsidRDefault="00703B19" w:rsidP="00703B19"/>
    <w:p w14:paraId="38B3D487" w14:textId="77777777" w:rsidR="00703B19" w:rsidRDefault="00703B19" w:rsidP="00703B19">
      <w:pPr>
        <w:jc w:val="both"/>
        <w:rPr>
          <w:i/>
          <w:iCs/>
        </w:rPr>
      </w:pPr>
      <w:r w:rsidRPr="008237A9">
        <w:rPr>
          <w:i/>
          <w:iCs/>
        </w:rPr>
        <w:t xml:space="preserve">Observation 1: Beam failure recovery mechanism </w:t>
      </w:r>
      <w:r>
        <w:rPr>
          <w:i/>
          <w:iCs/>
        </w:rPr>
        <w:t>may be used in</w:t>
      </w:r>
      <w:r w:rsidRPr="008237A9">
        <w:rPr>
          <w:i/>
          <w:iCs/>
        </w:rPr>
        <w:t xml:space="preserve"> NTN.</w:t>
      </w:r>
    </w:p>
    <w:p w14:paraId="65ED1C2D" w14:textId="77777777" w:rsidR="00703B19" w:rsidRDefault="00703B19" w:rsidP="00703B19"/>
    <w:p w14:paraId="545EE215" w14:textId="77777777" w:rsidR="00703B19" w:rsidRDefault="00703B19" w:rsidP="00703B19">
      <w:pPr>
        <w:jc w:val="both"/>
        <w:rPr>
          <w:i/>
          <w:iCs/>
        </w:rPr>
      </w:pPr>
      <w:r>
        <w:rPr>
          <w:i/>
          <w:iCs/>
        </w:rPr>
        <w:t>Observation 2: The timing relationship enhancement for beam failure recovery in NTN is needed.</w:t>
      </w:r>
    </w:p>
    <w:p w14:paraId="57142382" w14:textId="77777777" w:rsidR="00703B19" w:rsidRDefault="00703B19" w:rsidP="00703B19"/>
    <w:p w14:paraId="3AA310F0" w14:textId="77777777" w:rsidR="00703B19" w:rsidRDefault="00703B19" w:rsidP="00703B19">
      <w:pPr>
        <w:jc w:val="both"/>
        <w:rPr>
          <w:i/>
          <w:iCs/>
        </w:rPr>
      </w:pPr>
      <w:r>
        <w:rPr>
          <w:i/>
          <w:iCs/>
        </w:rPr>
        <w:t xml:space="preserve">Observation 3: The timing relationship enhancement for beam failure recovery in NTN does not have large specification impact.  </w:t>
      </w:r>
    </w:p>
    <w:p w14:paraId="1CCD9172" w14:textId="77777777" w:rsidR="00703B19" w:rsidRDefault="00703B19" w:rsidP="00703B19"/>
    <w:p w14:paraId="1551761E" w14:textId="77777777" w:rsidR="00703B19" w:rsidRDefault="00703B19" w:rsidP="00703B19">
      <w:pPr>
        <w:jc w:val="both"/>
      </w:pPr>
      <w:r w:rsidRPr="001C381A">
        <w:rPr>
          <w:b/>
          <w:i/>
          <w:u w:val="single"/>
        </w:rPr>
        <w:t xml:space="preserve">Proposal </w:t>
      </w:r>
      <w:r>
        <w:rPr>
          <w:b/>
          <w:i/>
          <w:u w:val="single"/>
        </w:rPr>
        <w:t>8</w:t>
      </w:r>
      <w:r w:rsidRPr="001C381A">
        <w:rPr>
          <w:b/>
          <w:i/>
          <w:u w:val="single"/>
        </w:rPr>
        <w:t>:</w:t>
      </w:r>
      <w:r w:rsidRPr="00BF2C61">
        <w:rPr>
          <w:i/>
        </w:rPr>
        <w:t xml:space="preserve"> </w:t>
      </w:r>
      <w:r>
        <w:rPr>
          <w:i/>
        </w:rPr>
        <w:t xml:space="preserve">RAN1 to 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w:t>
      </w:r>
    </w:p>
    <w:p w14:paraId="712D1D1C" w14:textId="77777777" w:rsidR="00703B19" w:rsidRDefault="00703B19" w:rsidP="00703B19"/>
    <w:p w14:paraId="6AC2AE8F" w14:textId="77777777" w:rsidR="00703B19" w:rsidRPr="000C77E3" w:rsidRDefault="00703B19" w:rsidP="00703B19">
      <w:pPr>
        <w:jc w:val="both"/>
        <w:rPr>
          <w:i/>
        </w:rPr>
      </w:pPr>
      <w:r w:rsidRPr="001C381A">
        <w:rPr>
          <w:b/>
          <w:i/>
          <w:u w:val="single"/>
        </w:rPr>
        <w:t xml:space="preserve">Proposal </w:t>
      </w:r>
      <w:r>
        <w:rPr>
          <w:b/>
          <w:i/>
          <w:u w:val="single"/>
        </w:rPr>
        <w:t>9</w:t>
      </w:r>
      <w:r w:rsidRPr="001C381A">
        <w:rPr>
          <w:b/>
          <w:i/>
          <w:u w:val="single"/>
        </w:rPr>
        <w:t>:</w:t>
      </w:r>
      <w:r w:rsidRPr="00BF2C61">
        <w:rPr>
          <w:i/>
        </w:rPr>
        <w:t xml:space="preserve"> </w:t>
      </w:r>
      <w:r>
        <w:rPr>
          <w:i/>
        </w:rPr>
        <w:t xml:space="preserve">RAN1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to enhance the timing relationship on the PUCCH transmission with new beam in the beam failure recovery procedure.</w:t>
      </w:r>
    </w:p>
    <w:p w14:paraId="6EC165F9" w14:textId="77777777" w:rsidR="00D53B3B" w:rsidRPr="00A61EE0" w:rsidRDefault="00D53B3B" w:rsidP="00B42176">
      <w:pPr>
        <w:jc w:val="both"/>
      </w:pPr>
    </w:p>
    <w:p w14:paraId="2E75F001" w14:textId="77777777" w:rsidR="007E70BB" w:rsidRPr="00A6576F" w:rsidRDefault="005C63AE" w:rsidP="007E70BB">
      <w:pPr>
        <w:pStyle w:val="Heading1"/>
      </w:pPr>
      <w:r w:rsidRPr="00A6576F">
        <w:t>References</w:t>
      </w:r>
    </w:p>
    <w:p w14:paraId="0449C24B" w14:textId="7F53F469"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861923"/>
      <w:bookmarkStart w:id="3" w:name="_Ref30519541"/>
      <w:bookmarkStart w:id="4" w:name="_Ref30499280"/>
      <w:r>
        <w:t>RP-2</w:t>
      </w:r>
      <w:r w:rsidR="0080118C">
        <w:t>1</w:t>
      </w:r>
      <w:r w:rsidR="00B805E1">
        <w:t>1557</w:t>
      </w:r>
      <w:r>
        <w:t xml:space="preserve">, </w:t>
      </w:r>
      <w:r w:rsidR="00694013">
        <w:t>“</w:t>
      </w:r>
      <w:r>
        <w:t>Solutions for NR to support non-terrestrial networks (NTN),</w:t>
      </w:r>
      <w:r w:rsidR="00694013">
        <w:t>”</w:t>
      </w:r>
      <w:r>
        <w:t xml:space="preserve"> </w:t>
      </w:r>
      <w:r w:rsidR="0080118C">
        <w:t>Mar</w:t>
      </w:r>
      <w:r>
        <w:t>. 202</w:t>
      </w:r>
      <w:r w:rsidR="0080118C">
        <w:t>1</w:t>
      </w:r>
      <w:r>
        <w:t>.</w:t>
      </w:r>
      <w:bookmarkEnd w:id="2"/>
      <w:r>
        <w:t xml:space="preserve"> </w:t>
      </w:r>
    </w:p>
    <w:p w14:paraId="02F78E54" w14:textId="64FF0687"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Start w:id="6" w:name="_Ref46864744"/>
      <w:r>
        <w:t>R1-2</w:t>
      </w:r>
      <w:r w:rsidR="000F21AD">
        <w:t>1</w:t>
      </w:r>
      <w:r w:rsidR="00505F29">
        <w:t>10641</w:t>
      </w:r>
      <w:r>
        <w:t>, “</w:t>
      </w:r>
      <w:r w:rsidR="00D0692A">
        <w:t>F</w:t>
      </w:r>
      <w:r w:rsidR="00B805E1">
        <w:t>eature lead</w:t>
      </w:r>
      <w:r>
        <w:t xml:space="preserve"> summary</w:t>
      </w:r>
      <w:r w:rsidR="00F94D45">
        <w:t xml:space="preserve"> #</w:t>
      </w:r>
      <w:r w:rsidR="006408E6">
        <w:t>6</w:t>
      </w:r>
      <w:r>
        <w:t xml:space="preserve"> on timing relationship</w:t>
      </w:r>
      <w:r w:rsidR="00B805E1">
        <w:t xml:space="preserve"> enhancements</w:t>
      </w:r>
      <w:r>
        <w:t xml:space="preserve">,” </w:t>
      </w:r>
      <w:r w:rsidR="00505F29">
        <w:t>Oct</w:t>
      </w:r>
      <w:r w:rsidR="005C2AD8">
        <w:t>.</w:t>
      </w:r>
      <w:r>
        <w:t xml:space="preserve"> 202</w:t>
      </w:r>
      <w:r w:rsidR="000F21AD">
        <w:t>1</w:t>
      </w:r>
      <w:r>
        <w:t>.</w:t>
      </w:r>
      <w:bookmarkEnd w:id="5"/>
      <w:r>
        <w:t xml:space="preserve">  </w:t>
      </w:r>
    </w:p>
    <w:p w14:paraId="7ECFCEE9" w14:textId="138536E4" w:rsidR="006408E6" w:rsidRDefault="006408E6"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6402557"/>
      <w:bookmarkStart w:id="8" w:name="_Ref83193069"/>
      <w:bookmarkStart w:id="9" w:name="_Ref75170717"/>
      <w:bookmarkStart w:id="10" w:name="_Ref70062107"/>
      <w:r>
        <w:t>Chairman’s Notes, 3GPP TSG RAN1 WG1 #106b-e Meeting, Oct. 2021.</w:t>
      </w:r>
      <w:bookmarkEnd w:id="7"/>
    </w:p>
    <w:p w14:paraId="393FCD08" w14:textId="77777777" w:rsidR="00703B19" w:rsidRPr="004F31C0" w:rsidRDefault="00703B19" w:rsidP="00703B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1" w:name="_Ref75189328"/>
      <w:bookmarkStart w:id="12" w:name="_Ref64378909"/>
      <w:bookmarkStart w:id="13" w:name="_Ref49784738"/>
      <w:bookmarkEnd w:id="8"/>
      <w:bookmarkEnd w:id="9"/>
      <w:bookmarkEnd w:id="10"/>
      <w:r w:rsidRPr="004F31C0">
        <w:t>R1-2104230, “LS on TA pre-compensation,” May 2021.</w:t>
      </w:r>
      <w:bookmarkEnd w:id="11"/>
      <w:r w:rsidRPr="004F31C0">
        <w:t xml:space="preserve"> </w:t>
      </w:r>
    </w:p>
    <w:p w14:paraId="4EDAD516" w14:textId="345C4E95" w:rsidR="001B7BDC" w:rsidRDefault="001B7BDC" w:rsidP="001B7B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86403154"/>
      <w:r>
        <w:t>Chairman’s Notes, 3GPP TSG RAN1 WG1 #10</w:t>
      </w:r>
      <w:r w:rsidR="00382F61">
        <w:t>4</w:t>
      </w:r>
      <w:r>
        <w:t xml:space="preserve">-e Meeting, </w:t>
      </w:r>
      <w:r w:rsidR="00382F61">
        <w:t>Jan.</w:t>
      </w:r>
      <w:r>
        <w:t xml:space="preserve"> 202</w:t>
      </w:r>
      <w:r w:rsidR="00382F61">
        <w:t>1</w:t>
      </w:r>
      <w:r>
        <w:t>.</w:t>
      </w:r>
      <w:bookmarkEnd w:id="12"/>
      <w:bookmarkEnd w:id="14"/>
    </w:p>
    <w:p w14:paraId="2090CAA2" w14:textId="4140AF1A" w:rsidR="00B06F65" w:rsidRDefault="00B06F65" w:rsidP="00246BD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83838817"/>
      <w:bookmarkEnd w:id="3"/>
      <w:bookmarkEnd w:id="4"/>
      <w:bookmarkEnd w:id="6"/>
      <w:bookmarkEnd w:id="13"/>
      <w:r>
        <w:t>3GPP TR 38.822, NR; User equipment (UE) feature list, v16.1.0, Sep. 2021.</w:t>
      </w:r>
      <w:bookmarkEnd w:id="15"/>
      <w:r>
        <w:t xml:space="preserve"> </w:t>
      </w:r>
    </w:p>
    <w:p w14:paraId="698A452B" w14:textId="51678D96" w:rsidR="00336EF5" w:rsidRDefault="00336EF5" w:rsidP="00246BD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86403015"/>
      <w:r>
        <w:t>R1-2110570, “</w:t>
      </w:r>
      <w:r w:rsidRPr="00336EF5">
        <w:t>Summary#2 of the discussions on other enhancements</w:t>
      </w:r>
      <w:r>
        <w:t>,” Oct. 2021.</w:t>
      </w:r>
      <w:bookmarkEnd w:id="16"/>
      <w:r>
        <w:t xml:space="preserve"> </w:t>
      </w:r>
    </w:p>
    <w:p w14:paraId="0CAF8518" w14:textId="6C72EF2A" w:rsidR="00627E67" w:rsidRPr="00B630FF" w:rsidRDefault="00627E67" w:rsidP="00627E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70091768"/>
      <w:bookmarkStart w:id="18" w:name="_Ref77924933"/>
      <w:r>
        <w:t xml:space="preserve">3GPP </w:t>
      </w:r>
      <w:r w:rsidRPr="00B630FF">
        <w:t>TS 38.213</w:t>
      </w:r>
      <w:r>
        <w:t xml:space="preserve">, NR; </w:t>
      </w:r>
      <w:r w:rsidRPr="00B630FF">
        <w:t>Physical layer procedures for control</w:t>
      </w:r>
      <w:r>
        <w:t>, v16.5.0, Mar. 2021.</w:t>
      </w:r>
      <w:bookmarkEnd w:id="17"/>
      <w:bookmarkEnd w:id="18"/>
    </w:p>
    <w:sectPr w:rsidR="00627E67" w:rsidRPr="00B630FF"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677B9" w14:textId="77777777" w:rsidR="00F40FE0" w:rsidRDefault="00F40FE0">
      <w:r>
        <w:separator/>
      </w:r>
    </w:p>
  </w:endnote>
  <w:endnote w:type="continuationSeparator" w:id="0">
    <w:p w14:paraId="16BC1D04" w14:textId="77777777" w:rsidR="00F40FE0" w:rsidRDefault="00F40FE0">
      <w:r>
        <w:continuationSeparator/>
      </w:r>
    </w:p>
  </w:endnote>
  <w:endnote w:type="continuationNotice" w:id="1">
    <w:p w14:paraId="45A565ED" w14:textId="77777777" w:rsidR="00F40FE0" w:rsidRDefault="00F40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336EF5" w:rsidRDefault="00336E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0466E" w14:textId="77777777" w:rsidR="00F40FE0" w:rsidRDefault="00F40FE0">
      <w:r>
        <w:separator/>
      </w:r>
    </w:p>
  </w:footnote>
  <w:footnote w:type="continuationSeparator" w:id="0">
    <w:p w14:paraId="388E188E" w14:textId="77777777" w:rsidR="00F40FE0" w:rsidRDefault="00F40FE0">
      <w:r>
        <w:continuationSeparator/>
      </w:r>
    </w:p>
  </w:footnote>
  <w:footnote w:type="continuationNotice" w:id="1">
    <w:p w14:paraId="3B6D81E7" w14:textId="77777777" w:rsidR="00F40FE0" w:rsidRDefault="00F40F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B22A0"/>
    <w:multiLevelType w:val="hybridMultilevel"/>
    <w:tmpl w:val="5A444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41079"/>
    <w:multiLevelType w:val="hybridMultilevel"/>
    <w:tmpl w:val="B7585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510B77"/>
    <w:multiLevelType w:val="multilevel"/>
    <w:tmpl w:val="1B027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96493"/>
    <w:multiLevelType w:val="hybridMultilevel"/>
    <w:tmpl w:val="7BF03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E57FC2"/>
    <w:multiLevelType w:val="hybridMultilevel"/>
    <w:tmpl w:val="B79EC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25"/>
  </w:num>
  <w:num w:numId="4">
    <w:abstractNumId w:val="26"/>
  </w:num>
  <w:num w:numId="5">
    <w:abstractNumId w:val="20"/>
  </w:num>
  <w:num w:numId="6">
    <w:abstractNumId w:val="29"/>
  </w:num>
  <w:num w:numId="7">
    <w:abstractNumId w:val="35"/>
  </w:num>
  <w:num w:numId="8">
    <w:abstractNumId w:val="21"/>
  </w:num>
  <w:num w:numId="9">
    <w:abstractNumId w:val="32"/>
  </w:num>
  <w:num w:numId="10">
    <w:abstractNumId w:val="0"/>
  </w:num>
  <w:num w:numId="11">
    <w:abstractNumId w:val="38"/>
  </w:num>
  <w:num w:numId="12">
    <w:abstractNumId w:val="9"/>
  </w:num>
  <w:num w:numId="13">
    <w:abstractNumId w:val="34"/>
  </w:num>
  <w:num w:numId="14">
    <w:abstractNumId w:val="28"/>
  </w:num>
  <w:num w:numId="15">
    <w:abstractNumId w:val="42"/>
  </w:num>
  <w:num w:numId="16">
    <w:abstractNumId w:val="48"/>
  </w:num>
  <w:num w:numId="17">
    <w:abstractNumId w:val="19"/>
  </w:num>
  <w:num w:numId="18">
    <w:abstractNumId w:val="37"/>
  </w:num>
  <w:num w:numId="19">
    <w:abstractNumId w:val="23"/>
  </w:num>
  <w:num w:numId="20">
    <w:abstractNumId w:val="18"/>
  </w:num>
  <w:num w:numId="21">
    <w:abstractNumId w:val="33"/>
  </w:num>
  <w:num w:numId="22">
    <w:abstractNumId w:val="11"/>
  </w:num>
  <w:num w:numId="23">
    <w:abstractNumId w:val="31"/>
  </w:num>
  <w:num w:numId="24">
    <w:abstractNumId w:val="6"/>
  </w:num>
  <w:num w:numId="25">
    <w:abstractNumId w:val="14"/>
  </w:num>
  <w:num w:numId="26">
    <w:abstractNumId w:val="43"/>
  </w:num>
  <w:num w:numId="27">
    <w:abstractNumId w:val="5"/>
  </w:num>
  <w:num w:numId="28">
    <w:abstractNumId w:val="17"/>
  </w:num>
  <w:num w:numId="29">
    <w:abstractNumId w:val="41"/>
  </w:num>
  <w:num w:numId="30">
    <w:abstractNumId w:val="7"/>
  </w:num>
  <w:num w:numId="31">
    <w:abstractNumId w:val="36"/>
  </w:num>
  <w:num w:numId="32">
    <w:abstractNumId w:val="46"/>
  </w:num>
  <w:num w:numId="33">
    <w:abstractNumId w:val="24"/>
  </w:num>
  <w:num w:numId="34">
    <w:abstractNumId w:val="13"/>
  </w:num>
  <w:num w:numId="35">
    <w:abstractNumId w:val="40"/>
  </w:num>
  <w:num w:numId="36">
    <w:abstractNumId w:val="39"/>
  </w:num>
  <w:num w:numId="37">
    <w:abstractNumId w:val="3"/>
  </w:num>
  <w:num w:numId="38">
    <w:abstractNumId w:val="16"/>
  </w:num>
  <w:num w:numId="39">
    <w:abstractNumId w:val="15"/>
  </w:num>
  <w:num w:numId="40">
    <w:abstractNumId w:val="1"/>
  </w:num>
  <w:num w:numId="41">
    <w:abstractNumId w:val="12"/>
  </w:num>
  <w:num w:numId="42">
    <w:abstractNumId w:val="47"/>
  </w:num>
  <w:num w:numId="43">
    <w:abstractNumId w:val="44"/>
  </w:num>
  <w:num w:numId="44">
    <w:abstractNumId w:val="22"/>
  </w:num>
  <w:num w:numId="45">
    <w:abstractNumId w:val="45"/>
  </w:num>
  <w:num w:numId="46">
    <w:abstractNumId w:val="4"/>
  </w:num>
  <w:num w:numId="47">
    <w:abstractNumId w:val="10"/>
  </w:num>
  <w:num w:numId="48">
    <w:abstractNumId w:val="8"/>
  </w:num>
  <w:num w:numId="4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ED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6FE"/>
    <w:rsid w:val="00042F22"/>
    <w:rsid w:val="000444EF"/>
    <w:rsid w:val="00044788"/>
    <w:rsid w:val="00044942"/>
    <w:rsid w:val="00044B46"/>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777"/>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6CC"/>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D0E"/>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B3F"/>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4D57"/>
    <w:rsid w:val="0009510F"/>
    <w:rsid w:val="000954FB"/>
    <w:rsid w:val="00095575"/>
    <w:rsid w:val="0009557D"/>
    <w:rsid w:val="0009595C"/>
    <w:rsid w:val="000968C1"/>
    <w:rsid w:val="000972CE"/>
    <w:rsid w:val="000973EF"/>
    <w:rsid w:val="0009795D"/>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A85"/>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E3"/>
    <w:rsid w:val="000C7FBF"/>
    <w:rsid w:val="000D05B3"/>
    <w:rsid w:val="000D05B4"/>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73"/>
    <w:rsid w:val="000E113C"/>
    <w:rsid w:val="000E1875"/>
    <w:rsid w:val="000E1E92"/>
    <w:rsid w:val="000E3413"/>
    <w:rsid w:val="000E3A5F"/>
    <w:rsid w:val="000E3B59"/>
    <w:rsid w:val="000E3CE6"/>
    <w:rsid w:val="000E49DC"/>
    <w:rsid w:val="000E4B42"/>
    <w:rsid w:val="000E50B7"/>
    <w:rsid w:val="000E5750"/>
    <w:rsid w:val="000E6FD6"/>
    <w:rsid w:val="000E7568"/>
    <w:rsid w:val="000E7757"/>
    <w:rsid w:val="000E7FA9"/>
    <w:rsid w:val="000F06D6"/>
    <w:rsid w:val="000F0EB1"/>
    <w:rsid w:val="000F1106"/>
    <w:rsid w:val="000F186D"/>
    <w:rsid w:val="000F19FE"/>
    <w:rsid w:val="000F1C4B"/>
    <w:rsid w:val="000F2053"/>
    <w:rsid w:val="000F21AD"/>
    <w:rsid w:val="000F26BC"/>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67B"/>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D7B"/>
    <w:rsid w:val="00117EB6"/>
    <w:rsid w:val="001209F6"/>
    <w:rsid w:val="001219F5"/>
    <w:rsid w:val="00121A20"/>
    <w:rsid w:val="00121FDD"/>
    <w:rsid w:val="00122388"/>
    <w:rsid w:val="00122DF9"/>
    <w:rsid w:val="00122F2E"/>
    <w:rsid w:val="0012377F"/>
    <w:rsid w:val="001239CB"/>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27F02"/>
    <w:rsid w:val="00130288"/>
    <w:rsid w:val="001302FA"/>
    <w:rsid w:val="00130B6B"/>
    <w:rsid w:val="00130D0E"/>
    <w:rsid w:val="00131294"/>
    <w:rsid w:val="00131A54"/>
    <w:rsid w:val="00131E55"/>
    <w:rsid w:val="0013216D"/>
    <w:rsid w:val="00132225"/>
    <w:rsid w:val="00132312"/>
    <w:rsid w:val="00132A13"/>
    <w:rsid w:val="00132FD0"/>
    <w:rsid w:val="00133E1C"/>
    <w:rsid w:val="00133E57"/>
    <w:rsid w:val="0013408B"/>
    <w:rsid w:val="0013442C"/>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76A"/>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4C0"/>
    <w:rsid w:val="00151B5D"/>
    <w:rsid w:val="00151E23"/>
    <w:rsid w:val="00152298"/>
    <w:rsid w:val="00152321"/>
    <w:rsid w:val="001523F3"/>
    <w:rsid w:val="001526E0"/>
    <w:rsid w:val="00153A1F"/>
    <w:rsid w:val="00153A3C"/>
    <w:rsid w:val="00154671"/>
    <w:rsid w:val="00155135"/>
    <w:rsid w:val="00155155"/>
    <w:rsid w:val="001551B5"/>
    <w:rsid w:val="001554CA"/>
    <w:rsid w:val="00155512"/>
    <w:rsid w:val="001556BD"/>
    <w:rsid w:val="00155BF6"/>
    <w:rsid w:val="00155E16"/>
    <w:rsid w:val="00157B9D"/>
    <w:rsid w:val="00157C5B"/>
    <w:rsid w:val="00157E3A"/>
    <w:rsid w:val="0016002E"/>
    <w:rsid w:val="00160069"/>
    <w:rsid w:val="001600EE"/>
    <w:rsid w:val="00160C36"/>
    <w:rsid w:val="001610B1"/>
    <w:rsid w:val="001621FB"/>
    <w:rsid w:val="001622D5"/>
    <w:rsid w:val="0016285B"/>
    <w:rsid w:val="00163AAA"/>
    <w:rsid w:val="001643A8"/>
    <w:rsid w:val="001644AA"/>
    <w:rsid w:val="00164617"/>
    <w:rsid w:val="00164D7A"/>
    <w:rsid w:val="00164EB3"/>
    <w:rsid w:val="001658F5"/>
    <w:rsid w:val="001659C1"/>
    <w:rsid w:val="00165F8E"/>
    <w:rsid w:val="00166025"/>
    <w:rsid w:val="00166030"/>
    <w:rsid w:val="001673F1"/>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98"/>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3D24"/>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880"/>
    <w:rsid w:val="001B405F"/>
    <w:rsid w:val="001B4453"/>
    <w:rsid w:val="001B49EC"/>
    <w:rsid w:val="001B52BA"/>
    <w:rsid w:val="001B5530"/>
    <w:rsid w:val="001B59DA"/>
    <w:rsid w:val="001B5A5D"/>
    <w:rsid w:val="001B612E"/>
    <w:rsid w:val="001B6813"/>
    <w:rsid w:val="001B68B3"/>
    <w:rsid w:val="001B796C"/>
    <w:rsid w:val="001B7A0B"/>
    <w:rsid w:val="001B7BDC"/>
    <w:rsid w:val="001B7F5A"/>
    <w:rsid w:val="001C0105"/>
    <w:rsid w:val="001C06CE"/>
    <w:rsid w:val="001C1CE5"/>
    <w:rsid w:val="001C2657"/>
    <w:rsid w:val="001C279F"/>
    <w:rsid w:val="001C27F5"/>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0E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355"/>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88"/>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71"/>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FA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6BDD"/>
    <w:rsid w:val="00247C40"/>
    <w:rsid w:val="00247E48"/>
    <w:rsid w:val="0025003A"/>
    <w:rsid w:val="002500C8"/>
    <w:rsid w:val="00251148"/>
    <w:rsid w:val="00251500"/>
    <w:rsid w:val="0025159A"/>
    <w:rsid w:val="00251949"/>
    <w:rsid w:val="00251CEE"/>
    <w:rsid w:val="00254208"/>
    <w:rsid w:val="002562F8"/>
    <w:rsid w:val="00256F60"/>
    <w:rsid w:val="0025719F"/>
    <w:rsid w:val="00257299"/>
    <w:rsid w:val="00257543"/>
    <w:rsid w:val="002579FA"/>
    <w:rsid w:val="002605C9"/>
    <w:rsid w:val="00260CFB"/>
    <w:rsid w:val="002617E7"/>
    <w:rsid w:val="00261FC8"/>
    <w:rsid w:val="00262742"/>
    <w:rsid w:val="00262C81"/>
    <w:rsid w:val="00262EB6"/>
    <w:rsid w:val="0026301B"/>
    <w:rsid w:val="002632BE"/>
    <w:rsid w:val="002633E3"/>
    <w:rsid w:val="0026379A"/>
    <w:rsid w:val="00264221"/>
    <w:rsid w:val="00264228"/>
    <w:rsid w:val="00264334"/>
    <w:rsid w:val="002645F1"/>
    <w:rsid w:val="0026473E"/>
    <w:rsid w:val="00264A28"/>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5BD"/>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87992"/>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C38"/>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09"/>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75F"/>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4BD3"/>
    <w:rsid w:val="002C50A5"/>
    <w:rsid w:val="002C59CB"/>
    <w:rsid w:val="002C6A78"/>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048"/>
    <w:rsid w:val="002D4322"/>
    <w:rsid w:val="002D54F0"/>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9FE"/>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5994"/>
    <w:rsid w:val="002F6AD8"/>
    <w:rsid w:val="002F6C3F"/>
    <w:rsid w:val="002F7102"/>
    <w:rsid w:val="002F7A06"/>
    <w:rsid w:val="00300043"/>
    <w:rsid w:val="0030029C"/>
    <w:rsid w:val="00301779"/>
    <w:rsid w:val="00301A4E"/>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6C4"/>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6EF5"/>
    <w:rsid w:val="00337194"/>
    <w:rsid w:val="003372DA"/>
    <w:rsid w:val="0034015C"/>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A6F"/>
    <w:rsid w:val="00353D2F"/>
    <w:rsid w:val="00353FD1"/>
    <w:rsid w:val="003545E2"/>
    <w:rsid w:val="0035482C"/>
    <w:rsid w:val="0035499D"/>
    <w:rsid w:val="00355ACF"/>
    <w:rsid w:val="003563A0"/>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07"/>
    <w:rsid w:val="003670C4"/>
    <w:rsid w:val="00370E47"/>
    <w:rsid w:val="00372570"/>
    <w:rsid w:val="00372B31"/>
    <w:rsid w:val="0037322F"/>
    <w:rsid w:val="0037323B"/>
    <w:rsid w:val="0037328D"/>
    <w:rsid w:val="00374042"/>
    <w:rsid w:val="003742AC"/>
    <w:rsid w:val="00376A1A"/>
    <w:rsid w:val="00376B9D"/>
    <w:rsid w:val="00377CE1"/>
    <w:rsid w:val="003807F1"/>
    <w:rsid w:val="003815BB"/>
    <w:rsid w:val="0038168D"/>
    <w:rsid w:val="003816B6"/>
    <w:rsid w:val="0038216D"/>
    <w:rsid w:val="0038217B"/>
    <w:rsid w:val="00382541"/>
    <w:rsid w:val="00382F6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A58"/>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7CC"/>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574"/>
    <w:rsid w:val="003C471D"/>
    <w:rsid w:val="003C4D0A"/>
    <w:rsid w:val="003C4F5D"/>
    <w:rsid w:val="003C585B"/>
    <w:rsid w:val="003C5D55"/>
    <w:rsid w:val="003C6326"/>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14"/>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27F50"/>
    <w:rsid w:val="00430AD7"/>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8BC"/>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347"/>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70"/>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58E"/>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465"/>
    <w:rsid w:val="004A4CED"/>
    <w:rsid w:val="004A515A"/>
    <w:rsid w:val="004A52A2"/>
    <w:rsid w:val="004A54CD"/>
    <w:rsid w:val="004A5658"/>
    <w:rsid w:val="004A5990"/>
    <w:rsid w:val="004A6952"/>
    <w:rsid w:val="004A6B9D"/>
    <w:rsid w:val="004A7159"/>
    <w:rsid w:val="004A7668"/>
    <w:rsid w:val="004A7694"/>
    <w:rsid w:val="004A77BB"/>
    <w:rsid w:val="004A7AD8"/>
    <w:rsid w:val="004A7E6E"/>
    <w:rsid w:val="004B014E"/>
    <w:rsid w:val="004B01DD"/>
    <w:rsid w:val="004B0618"/>
    <w:rsid w:val="004B0AB7"/>
    <w:rsid w:val="004B1800"/>
    <w:rsid w:val="004B20F8"/>
    <w:rsid w:val="004B31AC"/>
    <w:rsid w:val="004B3955"/>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3DFC"/>
    <w:rsid w:val="004E462E"/>
    <w:rsid w:val="004E4678"/>
    <w:rsid w:val="004E4AC9"/>
    <w:rsid w:val="004E4F2C"/>
    <w:rsid w:val="004E554E"/>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1C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3C8A"/>
    <w:rsid w:val="00504146"/>
    <w:rsid w:val="005049A5"/>
    <w:rsid w:val="00504EFF"/>
    <w:rsid w:val="00505423"/>
    <w:rsid w:val="00505F29"/>
    <w:rsid w:val="0050628F"/>
    <w:rsid w:val="00506557"/>
    <w:rsid w:val="00506678"/>
    <w:rsid w:val="00506764"/>
    <w:rsid w:val="0050677A"/>
    <w:rsid w:val="00506982"/>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4E2"/>
    <w:rsid w:val="005207D9"/>
    <w:rsid w:val="00521517"/>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26C"/>
    <w:rsid w:val="005314A7"/>
    <w:rsid w:val="005317B9"/>
    <w:rsid w:val="00532096"/>
    <w:rsid w:val="005321B3"/>
    <w:rsid w:val="005328CA"/>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8EF"/>
    <w:rsid w:val="00540AAE"/>
    <w:rsid w:val="00541020"/>
    <w:rsid w:val="0054115E"/>
    <w:rsid w:val="005418CB"/>
    <w:rsid w:val="005418FC"/>
    <w:rsid w:val="00542206"/>
    <w:rsid w:val="0054238A"/>
    <w:rsid w:val="00542897"/>
    <w:rsid w:val="00542899"/>
    <w:rsid w:val="0054302C"/>
    <w:rsid w:val="005432AB"/>
    <w:rsid w:val="0054355D"/>
    <w:rsid w:val="00543AF9"/>
    <w:rsid w:val="00544824"/>
    <w:rsid w:val="00545492"/>
    <w:rsid w:val="0054558E"/>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50F"/>
    <w:rsid w:val="00567664"/>
    <w:rsid w:val="00567F21"/>
    <w:rsid w:val="00567F55"/>
    <w:rsid w:val="00570BE9"/>
    <w:rsid w:val="00570DAC"/>
    <w:rsid w:val="00570F73"/>
    <w:rsid w:val="00570F99"/>
    <w:rsid w:val="005713F2"/>
    <w:rsid w:val="00571D73"/>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824"/>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AD8"/>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1DC6"/>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4EA"/>
    <w:rsid w:val="0060283C"/>
    <w:rsid w:val="00604443"/>
    <w:rsid w:val="00604BA5"/>
    <w:rsid w:val="00604F14"/>
    <w:rsid w:val="00605391"/>
    <w:rsid w:val="0060539F"/>
    <w:rsid w:val="00605677"/>
    <w:rsid w:val="00605732"/>
    <w:rsid w:val="00605F62"/>
    <w:rsid w:val="00606360"/>
    <w:rsid w:val="006063CC"/>
    <w:rsid w:val="00606643"/>
    <w:rsid w:val="00606F0B"/>
    <w:rsid w:val="00607BB5"/>
    <w:rsid w:val="0061030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4422"/>
    <w:rsid w:val="0061569B"/>
    <w:rsid w:val="00615721"/>
    <w:rsid w:val="00616485"/>
    <w:rsid w:val="006169D7"/>
    <w:rsid w:val="006175CD"/>
    <w:rsid w:val="0062003C"/>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27E67"/>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4C"/>
    <w:rsid w:val="006353F5"/>
    <w:rsid w:val="0063541F"/>
    <w:rsid w:val="006355C2"/>
    <w:rsid w:val="006361C1"/>
    <w:rsid w:val="00636398"/>
    <w:rsid w:val="006368D3"/>
    <w:rsid w:val="0063753A"/>
    <w:rsid w:val="006377EC"/>
    <w:rsid w:val="00640034"/>
    <w:rsid w:val="00640116"/>
    <w:rsid w:val="006401D0"/>
    <w:rsid w:val="006408E6"/>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4796E"/>
    <w:rsid w:val="0065056D"/>
    <w:rsid w:val="00650AB9"/>
    <w:rsid w:val="00650EEB"/>
    <w:rsid w:val="00651227"/>
    <w:rsid w:val="00651439"/>
    <w:rsid w:val="00651E42"/>
    <w:rsid w:val="006521B8"/>
    <w:rsid w:val="006527FB"/>
    <w:rsid w:val="00652FFC"/>
    <w:rsid w:val="00653162"/>
    <w:rsid w:val="00653583"/>
    <w:rsid w:val="00653B2B"/>
    <w:rsid w:val="00654221"/>
    <w:rsid w:val="00655728"/>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1792"/>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0D4"/>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A7CB6"/>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C78"/>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E7FC6"/>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B19"/>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2FF6"/>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910"/>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5A00"/>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25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D88"/>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1C4A"/>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626"/>
    <w:rsid w:val="007868B9"/>
    <w:rsid w:val="007869D5"/>
    <w:rsid w:val="00786B35"/>
    <w:rsid w:val="00786B46"/>
    <w:rsid w:val="00786CB8"/>
    <w:rsid w:val="00786FAC"/>
    <w:rsid w:val="007875D4"/>
    <w:rsid w:val="00787CEA"/>
    <w:rsid w:val="0079005B"/>
    <w:rsid w:val="007903B3"/>
    <w:rsid w:val="007904B3"/>
    <w:rsid w:val="007908C2"/>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4F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A7EFF"/>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78E"/>
    <w:rsid w:val="007B6FFF"/>
    <w:rsid w:val="007C05DD"/>
    <w:rsid w:val="007C0ACB"/>
    <w:rsid w:val="007C0E11"/>
    <w:rsid w:val="007C13ED"/>
    <w:rsid w:val="007C1EE8"/>
    <w:rsid w:val="007C20F6"/>
    <w:rsid w:val="007C2BD7"/>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09D"/>
    <w:rsid w:val="007D11A8"/>
    <w:rsid w:val="007D137B"/>
    <w:rsid w:val="007D1FCB"/>
    <w:rsid w:val="007D1FFB"/>
    <w:rsid w:val="007D2348"/>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3D4"/>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6F7A"/>
    <w:rsid w:val="007E7091"/>
    <w:rsid w:val="007E70BB"/>
    <w:rsid w:val="007E7521"/>
    <w:rsid w:val="007F03D1"/>
    <w:rsid w:val="007F0B67"/>
    <w:rsid w:val="007F0BD7"/>
    <w:rsid w:val="007F0EAE"/>
    <w:rsid w:val="007F1388"/>
    <w:rsid w:val="007F15BE"/>
    <w:rsid w:val="007F1713"/>
    <w:rsid w:val="007F1D05"/>
    <w:rsid w:val="007F23AC"/>
    <w:rsid w:val="007F3056"/>
    <w:rsid w:val="007F30B7"/>
    <w:rsid w:val="007F31D4"/>
    <w:rsid w:val="007F3AD7"/>
    <w:rsid w:val="007F49C8"/>
    <w:rsid w:val="007F5CDD"/>
    <w:rsid w:val="007F5D4F"/>
    <w:rsid w:val="007F5D6F"/>
    <w:rsid w:val="007F6B18"/>
    <w:rsid w:val="008002FF"/>
    <w:rsid w:val="00800FF0"/>
    <w:rsid w:val="0080118C"/>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DFF"/>
    <w:rsid w:val="00811FCB"/>
    <w:rsid w:val="00812E15"/>
    <w:rsid w:val="00812FA4"/>
    <w:rsid w:val="008130E1"/>
    <w:rsid w:val="008130F9"/>
    <w:rsid w:val="008132E5"/>
    <w:rsid w:val="00813436"/>
    <w:rsid w:val="00815273"/>
    <w:rsid w:val="00815370"/>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37A9"/>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3EC"/>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F57"/>
    <w:rsid w:val="00844187"/>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0E92"/>
    <w:rsid w:val="00852C9F"/>
    <w:rsid w:val="00853CE5"/>
    <w:rsid w:val="00854467"/>
    <w:rsid w:val="00854A60"/>
    <w:rsid w:val="00854FB5"/>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60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8763F"/>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72"/>
    <w:rsid w:val="008C1588"/>
    <w:rsid w:val="008C16F3"/>
    <w:rsid w:val="008C18D4"/>
    <w:rsid w:val="008C2017"/>
    <w:rsid w:val="008C256E"/>
    <w:rsid w:val="008C2907"/>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41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C77"/>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4AE8"/>
    <w:rsid w:val="009053AA"/>
    <w:rsid w:val="00906939"/>
    <w:rsid w:val="009069F6"/>
    <w:rsid w:val="009075DE"/>
    <w:rsid w:val="00907FF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2C"/>
    <w:rsid w:val="00921C62"/>
    <w:rsid w:val="00922010"/>
    <w:rsid w:val="0092236B"/>
    <w:rsid w:val="00922796"/>
    <w:rsid w:val="00922B0A"/>
    <w:rsid w:val="00922B4B"/>
    <w:rsid w:val="00922B9C"/>
    <w:rsid w:val="009245BB"/>
    <w:rsid w:val="00925110"/>
    <w:rsid w:val="00925BAD"/>
    <w:rsid w:val="009279D3"/>
    <w:rsid w:val="00927B3F"/>
    <w:rsid w:val="00930CCF"/>
    <w:rsid w:val="00930E68"/>
    <w:rsid w:val="00931124"/>
    <w:rsid w:val="00931148"/>
    <w:rsid w:val="0093117F"/>
    <w:rsid w:val="00931A9B"/>
    <w:rsid w:val="00931AFB"/>
    <w:rsid w:val="00931BD9"/>
    <w:rsid w:val="00932D0C"/>
    <w:rsid w:val="009335EE"/>
    <w:rsid w:val="009336BF"/>
    <w:rsid w:val="00933CC1"/>
    <w:rsid w:val="009347B0"/>
    <w:rsid w:val="00936731"/>
    <w:rsid w:val="009368F3"/>
    <w:rsid w:val="00936EA7"/>
    <w:rsid w:val="009376C1"/>
    <w:rsid w:val="00937DFF"/>
    <w:rsid w:val="00940E12"/>
    <w:rsid w:val="009411FC"/>
    <w:rsid w:val="00941636"/>
    <w:rsid w:val="00941B38"/>
    <w:rsid w:val="00941D93"/>
    <w:rsid w:val="00941FF9"/>
    <w:rsid w:val="009424D7"/>
    <w:rsid w:val="00942A92"/>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0EE7"/>
    <w:rsid w:val="00951151"/>
    <w:rsid w:val="0095209A"/>
    <w:rsid w:val="0095226F"/>
    <w:rsid w:val="00952F71"/>
    <w:rsid w:val="009533E3"/>
    <w:rsid w:val="00953454"/>
    <w:rsid w:val="00953920"/>
    <w:rsid w:val="00953D47"/>
    <w:rsid w:val="0095403A"/>
    <w:rsid w:val="00954F4F"/>
    <w:rsid w:val="00955BA3"/>
    <w:rsid w:val="0095681E"/>
    <w:rsid w:val="00956EFA"/>
    <w:rsid w:val="009571B9"/>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48D"/>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767"/>
    <w:rsid w:val="00983B4E"/>
    <w:rsid w:val="0098420B"/>
    <w:rsid w:val="0098480C"/>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054"/>
    <w:rsid w:val="009A13E6"/>
    <w:rsid w:val="009A1601"/>
    <w:rsid w:val="009A22E1"/>
    <w:rsid w:val="009A2628"/>
    <w:rsid w:val="009A2DBD"/>
    <w:rsid w:val="009A3285"/>
    <w:rsid w:val="009A34A1"/>
    <w:rsid w:val="009A38E7"/>
    <w:rsid w:val="009A462D"/>
    <w:rsid w:val="009A4A8E"/>
    <w:rsid w:val="009A4AD1"/>
    <w:rsid w:val="009A5124"/>
    <w:rsid w:val="009A524B"/>
    <w:rsid w:val="009A5566"/>
    <w:rsid w:val="009A5737"/>
    <w:rsid w:val="009A5B6C"/>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2E8E"/>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8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AAE"/>
    <w:rsid w:val="009E61F3"/>
    <w:rsid w:val="009E78E7"/>
    <w:rsid w:val="009E7E2D"/>
    <w:rsid w:val="009F08F3"/>
    <w:rsid w:val="009F0EBC"/>
    <w:rsid w:val="009F0F28"/>
    <w:rsid w:val="009F1A60"/>
    <w:rsid w:val="009F2069"/>
    <w:rsid w:val="009F2CBD"/>
    <w:rsid w:val="009F344F"/>
    <w:rsid w:val="009F390C"/>
    <w:rsid w:val="009F427D"/>
    <w:rsid w:val="009F44D0"/>
    <w:rsid w:val="009F4B63"/>
    <w:rsid w:val="009F5E13"/>
    <w:rsid w:val="009F5E2F"/>
    <w:rsid w:val="009F5EAE"/>
    <w:rsid w:val="009F7114"/>
    <w:rsid w:val="009F7437"/>
    <w:rsid w:val="00A00D13"/>
    <w:rsid w:val="00A00D59"/>
    <w:rsid w:val="00A01060"/>
    <w:rsid w:val="00A01189"/>
    <w:rsid w:val="00A0185F"/>
    <w:rsid w:val="00A01D47"/>
    <w:rsid w:val="00A02E5F"/>
    <w:rsid w:val="00A03CB7"/>
    <w:rsid w:val="00A0407B"/>
    <w:rsid w:val="00A048A8"/>
    <w:rsid w:val="00A04B30"/>
    <w:rsid w:val="00A04F49"/>
    <w:rsid w:val="00A05340"/>
    <w:rsid w:val="00A0635D"/>
    <w:rsid w:val="00A0642B"/>
    <w:rsid w:val="00A066C5"/>
    <w:rsid w:val="00A0672A"/>
    <w:rsid w:val="00A06CD3"/>
    <w:rsid w:val="00A06FA2"/>
    <w:rsid w:val="00A07C01"/>
    <w:rsid w:val="00A1051C"/>
    <w:rsid w:val="00A1094B"/>
    <w:rsid w:val="00A10999"/>
    <w:rsid w:val="00A1106B"/>
    <w:rsid w:val="00A113F6"/>
    <w:rsid w:val="00A11AE0"/>
    <w:rsid w:val="00A12C38"/>
    <w:rsid w:val="00A13036"/>
    <w:rsid w:val="00A136F4"/>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37B"/>
    <w:rsid w:val="00A2279A"/>
    <w:rsid w:val="00A2351A"/>
    <w:rsid w:val="00A23801"/>
    <w:rsid w:val="00A23F02"/>
    <w:rsid w:val="00A23FCF"/>
    <w:rsid w:val="00A240BC"/>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2EB8"/>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1EE0"/>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787"/>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9D"/>
    <w:rsid w:val="00AB34CD"/>
    <w:rsid w:val="00AB3792"/>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4CE9"/>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2B88"/>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85"/>
    <w:rsid w:val="00B047FD"/>
    <w:rsid w:val="00B04DD2"/>
    <w:rsid w:val="00B04E96"/>
    <w:rsid w:val="00B05084"/>
    <w:rsid w:val="00B051D7"/>
    <w:rsid w:val="00B05596"/>
    <w:rsid w:val="00B0592F"/>
    <w:rsid w:val="00B05BDA"/>
    <w:rsid w:val="00B05E95"/>
    <w:rsid w:val="00B06F6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658A"/>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4C"/>
    <w:rsid w:val="00B45A52"/>
    <w:rsid w:val="00B45AF9"/>
    <w:rsid w:val="00B46175"/>
    <w:rsid w:val="00B4670C"/>
    <w:rsid w:val="00B46AD4"/>
    <w:rsid w:val="00B46E76"/>
    <w:rsid w:val="00B4744D"/>
    <w:rsid w:val="00B4745B"/>
    <w:rsid w:val="00B47515"/>
    <w:rsid w:val="00B47571"/>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6966"/>
    <w:rsid w:val="00B571BA"/>
    <w:rsid w:val="00B5776E"/>
    <w:rsid w:val="00B57A09"/>
    <w:rsid w:val="00B57A22"/>
    <w:rsid w:val="00B57F58"/>
    <w:rsid w:val="00B6021E"/>
    <w:rsid w:val="00B603CD"/>
    <w:rsid w:val="00B604C1"/>
    <w:rsid w:val="00B60F10"/>
    <w:rsid w:val="00B61000"/>
    <w:rsid w:val="00B626E7"/>
    <w:rsid w:val="00B62AAA"/>
    <w:rsid w:val="00B62B11"/>
    <w:rsid w:val="00B630FF"/>
    <w:rsid w:val="00B63534"/>
    <w:rsid w:val="00B6366E"/>
    <w:rsid w:val="00B64259"/>
    <w:rsid w:val="00B6553E"/>
    <w:rsid w:val="00B658B9"/>
    <w:rsid w:val="00B659E4"/>
    <w:rsid w:val="00B662AB"/>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374"/>
    <w:rsid w:val="00B80475"/>
    <w:rsid w:val="00B805E1"/>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6DB"/>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F4"/>
    <w:rsid w:val="00BA34C0"/>
    <w:rsid w:val="00BA3F6C"/>
    <w:rsid w:val="00BA47B3"/>
    <w:rsid w:val="00BA49CB"/>
    <w:rsid w:val="00BA4AAB"/>
    <w:rsid w:val="00BA4F1E"/>
    <w:rsid w:val="00BA56D2"/>
    <w:rsid w:val="00BA592D"/>
    <w:rsid w:val="00BA67D4"/>
    <w:rsid w:val="00BA76E0"/>
    <w:rsid w:val="00BA7B78"/>
    <w:rsid w:val="00BB026C"/>
    <w:rsid w:val="00BB0BD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6F1"/>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C41"/>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AF"/>
    <w:rsid w:val="00C119F4"/>
    <w:rsid w:val="00C12107"/>
    <w:rsid w:val="00C12978"/>
    <w:rsid w:val="00C1336E"/>
    <w:rsid w:val="00C1339F"/>
    <w:rsid w:val="00C13429"/>
    <w:rsid w:val="00C136B9"/>
    <w:rsid w:val="00C13C4B"/>
    <w:rsid w:val="00C14D4B"/>
    <w:rsid w:val="00C14F45"/>
    <w:rsid w:val="00C153EB"/>
    <w:rsid w:val="00C154BB"/>
    <w:rsid w:val="00C15682"/>
    <w:rsid w:val="00C15FEA"/>
    <w:rsid w:val="00C1670D"/>
    <w:rsid w:val="00C16C9A"/>
    <w:rsid w:val="00C17159"/>
    <w:rsid w:val="00C173FB"/>
    <w:rsid w:val="00C177D6"/>
    <w:rsid w:val="00C20D14"/>
    <w:rsid w:val="00C214EA"/>
    <w:rsid w:val="00C218C5"/>
    <w:rsid w:val="00C22345"/>
    <w:rsid w:val="00C22468"/>
    <w:rsid w:val="00C22E48"/>
    <w:rsid w:val="00C23644"/>
    <w:rsid w:val="00C23EE8"/>
    <w:rsid w:val="00C2471F"/>
    <w:rsid w:val="00C24E68"/>
    <w:rsid w:val="00C2560A"/>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492"/>
    <w:rsid w:val="00C3709A"/>
    <w:rsid w:val="00C3719D"/>
    <w:rsid w:val="00C3756F"/>
    <w:rsid w:val="00C377C8"/>
    <w:rsid w:val="00C37E19"/>
    <w:rsid w:val="00C40315"/>
    <w:rsid w:val="00C404A8"/>
    <w:rsid w:val="00C4076A"/>
    <w:rsid w:val="00C410AA"/>
    <w:rsid w:val="00C41251"/>
    <w:rsid w:val="00C42720"/>
    <w:rsid w:val="00C42976"/>
    <w:rsid w:val="00C42C69"/>
    <w:rsid w:val="00C42C71"/>
    <w:rsid w:val="00C42D49"/>
    <w:rsid w:val="00C42D85"/>
    <w:rsid w:val="00C42DF8"/>
    <w:rsid w:val="00C42DFD"/>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C34"/>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FF6"/>
    <w:rsid w:val="00C910C3"/>
    <w:rsid w:val="00C91490"/>
    <w:rsid w:val="00C9182E"/>
    <w:rsid w:val="00C91F7D"/>
    <w:rsid w:val="00C91FCB"/>
    <w:rsid w:val="00C9206B"/>
    <w:rsid w:val="00C93196"/>
    <w:rsid w:val="00C93B42"/>
    <w:rsid w:val="00C93C4B"/>
    <w:rsid w:val="00C944AB"/>
    <w:rsid w:val="00C94596"/>
    <w:rsid w:val="00C94AC0"/>
    <w:rsid w:val="00C953CF"/>
    <w:rsid w:val="00C95B40"/>
    <w:rsid w:val="00C96D0C"/>
    <w:rsid w:val="00C97482"/>
    <w:rsid w:val="00C977D6"/>
    <w:rsid w:val="00C97924"/>
    <w:rsid w:val="00CA0487"/>
    <w:rsid w:val="00CA04B9"/>
    <w:rsid w:val="00CA0EBA"/>
    <w:rsid w:val="00CA1057"/>
    <w:rsid w:val="00CA1EC8"/>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86E"/>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C7B52"/>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663"/>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2DD8"/>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4A22"/>
    <w:rsid w:val="00CF5014"/>
    <w:rsid w:val="00CF51DD"/>
    <w:rsid w:val="00CF5BA1"/>
    <w:rsid w:val="00CF5CB0"/>
    <w:rsid w:val="00CF625B"/>
    <w:rsid w:val="00CF687E"/>
    <w:rsid w:val="00CF6BA0"/>
    <w:rsid w:val="00CF6F19"/>
    <w:rsid w:val="00CF7B42"/>
    <w:rsid w:val="00CF7C55"/>
    <w:rsid w:val="00D003E2"/>
    <w:rsid w:val="00D00EE6"/>
    <w:rsid w:val="00D01378"/>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92A"/>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912"/>
    <w:rsid w:val="00D17CE4"/>
    <w:rsid w:val="00D2006E"/>
    <w:rsid w:val="00D205D5"/>
    <w:rsid w:val="00D21672"/>
    <w:rsid w:val="00D2277F"/>
    <w:rsid w:val="00D22AC8"/>
    <w:rsid w:val="00D239A7"/>
    <w:rsid w:val="00D23BE5"/>
    <w:rsid w:val="00D23F47"/>
    <w:rsid w:val="00D242E0"/>
    <w:rsid w:val="00D248F5"/>
    <w:rsid w:val="00D24951"/>
    <w:rsid w:val="00D251A0"/>
    <w:rsid w:val="00D25491"/>
    <w:rsid w:val="00D25557"/>
    <w:rsid w:val="00D2556A"/>
    <w:rsid w:val="00D26841"/>
    <w:rsid w:val="00D26B67"/>
    <w:rsid w:val="00D26BF0"/>
    <w:rsid w:val="00D26C20"/>
    <w:rsid w:val="00D27F67"/>
    <w:rsid w:val="00D3005B"/>
    <w:rsid w:val="00D30160"/>
    <w:rsid w:val="00D31B35"/>
    <w:rsid w:val="00D32518"/>
    <w:rsid w:val="00D345B9"/>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2985"/>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3B"/>
    <w:rsid w:val="00D53BB2"/>
    <w:rsid w:val="00D53EE5"/>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F7E"/>
    <w:rsid w:val="00D7079A"/>
    <w:rsid w:val="00D70841"/>
    <w:rsid w:val="00D708B0"/>
    <w:rsid w:val="00D70C0E"/>
    <w:rsid w:val="00D72099"/>
    <w:rsid w:val="00D728A2"/>
    <w:rsid w:val="00D73192"/>
    <w:rsid w:val="00D73427"/>
    <w:rsid w:val="00D7345F"/>
    <w:rsid w:val="00D73A16"/>
    <w:rsid w:val="00D74277"/>
    <w:rsid w:val="00D74AEC"/>
    <w:rsid w:val="00D75225"/>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7AD"/>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0CE"/>
    <w:rsid w:val="00DC53EF"/>
    <w:rsid w:val="00DC6486"/>
    <w:rsid w:val="00DC69C5"/>
    <w:rsid w:val="00DC748E"/>
    <w:rsid w:val="00DC7AAD"/>
    <w:rsid w:val="00DC7E2E"/>
    <w:rsid w:val="00DD0200"/>
    <w:rsid w:val="00DD0A3C"/>
    <w:rsid w:val="00DD0CCA"/>
    <w:rsid w:val="00DD1174"/>
    <w:rsid w:val="00DD1425"/>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3EE"/>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2D"/>
    <w:rsid w:val="00E0503D"/>
    <w:rsid w:val="00E05B68"/>
    <w:rsid w:val="00E05C62"/>
    <w:rsid w:val="00E05E76"/>
    <w:rsid w:val="00E065BD"/>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028"/>
    <w:rsid w:val="00E1424B"/>
    <w:rsid w:val="00E14C0B"/>
    <w:rsid w:val="00E1555A"/>
    <w:rsid w:val="00E1650B"/>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845"/>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03E"/>
    <w:rsid w:val="00E63838"/>
    <w:rsid w:val="00E6427E"/>
    <w:rsid w:val="00E64434"/>
    <w:rsid w:val="00E64647"/>
    <w:rsid w:val="00E646A6"/>
    <w:rsid w:val="00E64F71"/>
    <w:rsid w:val="00E650C5"/>
    <w:rsid w:val="00E65486"/>
    <w:rsid w:val="00E65BD4"/>
    <w:rsid w:val="00E65DE5"/>
    <w:rsid w:val="00E661A7"/>
    <w:rsid w:val="00E665EC"/>
    <w:rsid w:val="00E67540"/>
    <w:rsid w:val="00E677DD"/>
    <w:rsid w:val="00E67998"/>
    <w:rsid w:val="00E67C51"/>
    <w:rsid w:val="00E7011B"/>
    <w:rsid w:val="00E704DE"/>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CDE"/>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1433"/>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287"/>
    <w:rsid w:val="00EB7353"/>
    <w:rsid w:val="00EB738E"/>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77F"/>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F8F"/>
    <w:rsid w:val="00EE1939"/>
    <w:rsid w:val="00EE2BB7"/>
    <w:rsid w:val="00EE2C5B"/>
    <w:rsid w:val="00EE3C98"/>
    <w:rsid w:val="00EE4C32"/>
    <w:rsid w:val="00EE5666"/>
    <w:rsid w:val="00EE5A1B"/>
    <w:rsid w:val="00EE66F4"/>
    <w:rsid w:val="00EE6A74"/>
    <w:rsid w:val="00EE6AEB"/>
    <w:rsid w:val="00EE71C1"/>
    <w:rsid w:val="00EE71DE"/>
    <w:rsid w:val="00EE7417"/>
    <w:rsid w:val="00EF10BB"/>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3E0"/>
    <w:rsid w:val="00F00ADD"/>
    <w:rsid w:val="00F01C3B"/>
    <w:rsid w:val="00F01F1B"/>
    <w:rsid w:val="00F03002"/>
    <w:rsid w:val="00F036EF"/>
    <w:rsid w:val="00F03ED4"/>
    <w:rsid w:val="00F03F7A"/>
    <w:rsid w:val="00F04ABF"/>
    <w:rsid w:val="00F04BC5"/>
    <w:rsid w:val="00F04DC0"/>
    <w:rsid w:val="00F0528D"/>
    <w:rsid w:val="00F054B9"/>
    <w:rsid w:val="00F06405"/>
    <w:rsid w:val="00F066EC"/>
    <w:rsid w:val="00F06C67"/>
    <w:rsid w:val="00F06DFD"/>
    <w:rsid w:val="00F0708B"/>
    <w:rsid w:val="00F071D1"/>
    <w:rsid w:val="00F07533"/>
    <w:rsid w:val="00F07AA8"/>
    <w:rsid w:val="00F07FE3"/>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0FE0"/>
    <w:rsid w:val="00F41816"/>
    <w:rsid w:val="00F4191A"/>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5F"/>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2CC2"/>
    <w:rsid w:val="00F8300F"/>
    <w:rsid w:val="00F835FD"/>
    <w:rsid w:val="00F837BA"/>
    <w:rsid w:val="00F83895"/>
    <w:rsid w:val="00F83A44"/>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6F0"/>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3F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074"/>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592E"/>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809"/>
    <w:rsid w:val="00FF4A5C"/>
    <w:rsid w:val="00FF547E"/>
    <w:rsid w:val="00FF5517"/>
    <w:rsid w:val="00FF563C"/>
    <w:rsid w:val="00FF5C91"/>
    <w:rsid w:val="00FF5F49"/>
    <w:rsid w:val="00FF75B4"/>
    <w:rsid w:val="00FF7B8F"/>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References">
    <w:name w:val="References"/>
    <w:basedOn w:val="Normal"/>
    <w:rsid w:val="00B630FF"/>
    <w:pPr>
      <w:numPr>
        <w:numId w:val="33"/>
      </w:numPr>
      <w:autoSpaceDE w:val="0"/>
      <w:autoSpaceDN w:val="0"/>
      <w:snapToGrid w:val="0"/>
      <w:spacing w:after="60"/>
      <w:jc w:val="both"/>
    </w:pPr>
    <w:rPr>
      <w:rFonts w:eastAsia="SimSun"/>
      <w:sz w:val="20"/>
      <w:szCs w:val="16"/>
      <w:lang w:eastAsia="en-US"/>
    </w:rPr>
  </w:style>
  <w:style w:type="character" w:customStyle="1" w:styleId="CommentTextChar">
    <w:name w:val="Comment Text Char"/>
    <w:basedOn w:val="DefaultParagraphFont"/>
    <w:link w:val="CommentText"/>
    <w:uiPriority w:val="99"/>
    <w:rsid w:val="00BB0BD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446560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19843125">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3720</Words>
  <Characters>21205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2021-09-22T21:48:00Z</dcterms:created>
  <dcterms:modified xsi:type="dcterms:W3CDTF">2021-11-04T20:56:00Z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